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A1A13">
      <w:pPr>
        <w:spacing w:line="480" w:lineRule="auto"/>
        <w:rPr>
          <w:b/>
          <w:sz w:val="32"/>
          <w:szCs w:val="32"/>
        </w:rPr>
      </w:pPr>
      <w:r>
        <w:rPr>
          <w:rFonts w:hint="eastAsia"/>
          <w:b/>
          <w:sz w:val="32"/>
          <w:szCs w:val="32"/>
        </w:rPr>
        <w:t xml:space="preserve">附件二、 </w:t>
      </w:r>
    </w:p>
    <w:p w14:paraId="18915298">
      <w:pPr>
        <w:spacing w:line="480" w:lineRule="auto"/>
        <w:ind w:firstLine="2650" w:firstLineChars="600"/>
        <w:rPr>
          <w:rFonts w:hint="eastAsia"/>
          <w:b/>
          <w:sz w:val="44"/>
          <w:szCs w:val="44"/>
        </w:rPr>
      </w:pPr>
      <w:r>
        <w:rPr>
          <w:rFonts w:hint="eastAsia"/>
          <w:b/>
          <w:sz w:val="44"/>
          <w:szCs w:val="44"/>
        </w:rPr>
        <w:t>协 议 书</w:t>
      </w:r>
    </w:p>
    <w:p w14:paraId="3E4BED31">
      <w:pPr>
        <w:spacing w:line="480" w:lineRule="auto"/>
        <w:ind w:firstLine="1325" w:firstLineChars="300"/>
        <w:rPr>
          <w:b/>
          <w:sz w:val="44"/>
          <w:szCs w:val="44"/>
        </w:rPr>
      </w:pPr>
      <w:r>
        <w:rPr>
          <w:rFonts w:hint="eastAsia"/>
          <w:b/>
          <w:sz w:val="44"/>
          <w:szCs w:val="44"/>
        </w:rPr>
        <w:t>（法人</w:t>
      </w:r>
      <w:r>
        <w:rPr>
          <w:rFonts w:hint="eastAsia"/>
          <w:b/>
          <w:sz w:val="44"/>
          <w:szCs w:val="44"/>
          <w:lang w:val="en-US" w:eastAsia="zh-CN"/>
        </w:rPr>
        <w:t>或其他组织</w:t>
      </w:r>
      <w:r>
        <w:rPr>
          <w:rFonts w:hint="eastAsia"/>
          <w:b/>
          <w:sz w:val="44"/>
          <w:szCs w:val="44"/>
        </w:rPr>
        <w:t>）</w:t>
      </w:r>
    </w:p>
    <w:p w14:paraId="2B7DAD1C">
      <w:pPr>
        <w:spacing w:line="320" w:lineRule="exact"/>
        <w:rPr>
          <w:rFonts w:ascii="仿宋" w:hAnsi="仿宋" w:eastAsia="仿宋"/>
          <w:sz w:val="24"/>
          <w:szCs w:val="24"/>
        </w:rPr>
      </w:pPr>
      <w:r>
        <w:rPr>
          <w:rFonts w:hint="eastAsia" w:ascii="仿宋" w:hAnsi="仿宋" w:eastAsia="仿宋"/>
          <w:sz w:val="24"/>
          <w:szCs w:val="24"/>
        </w:rPr>
        <w:t>甲方</w:t>
      </w:r>
      <w:r>
        <w:rPr>
          <w:rFonts w:ascii="仿宋" w:hAnsi="仿宋" w:eastAsia="仿宋"/>
          <w:sz w:val="24"/>
          <w:szCs w:val="24"/>
        </w:rPr>
        <w:t>：</w:t>
      </w:r>
      <w:r>
        <w:rPr>
          <w:rFonts w:hint="eastAsia" w:ascii="仿宋" w:hAnsi="仿宋" w:eastAsia="仿宋"/>
          <w:color w:val="000000"/>
          <w:sz w:val="24"/>
          <w:szCs w:val="24"/>
        </w:rPr>
        <w:t>哈尔滨产权交易所有限责任公司</w:t>
      </w:r>
    </w:p>
    <w:p w14:paraId="7E9CF682">
      <w:pPr>
        <w:spacing w:line="320" w:lineRule="exact"/>
        <w:rPr>
          <w:rFonts w:ascii="仿宋" w:hAnsi="仿宋" w:eastAsia="仿宋"/>
          <w:sz w:val="24"/>
          <w:szCs w:val="24"/>
        </w:rPr>
      </w:pPr>
    </w:p>
    <w:p w14:paraId="4DEC4016">
      <w:pPr>
        <w:spacing w:line="320" w:lineRule="exact"/>
        <w:rPr>
          <w:rFonts w:ascii="仿宋" w:hAnsi="仿宋" w:eastAsia="仿宋"/>
          <w:sz w:val="24"/>
          <w:szCs w:val="24"/>
        </w:rPr>
      </w:pPr>
      <w:r>
        <w:rPr>
          <w:rFonts w:hint="eastAsia" w:ascii="仿宋" w:hAnsi="仿宋" w:eastAsia="仿宋"/>
          <w:sz w:val="24"/>
          <w:szCs w:val="24"/>
        </w:rPr>
        <w:t>乙方</w:t>
      </w:r>
      <w:r>
        <w:rPr>
          <w:rFonts w:ascii="仿宋" w:hAnsi="仿宋" w:eastAsia="仿宋"/>
          <w:sz w:val="24"/>
          <w:szCs w:val="24"/>
        </w:rPr>
        <w:t xml:space="preserve">： </w:t>
      </w:r>
    </w:p>
    <w:p w14:paraId="1FB23ADB">
      <w:pPr>
        <w:spacing w:line="320" w:lineRule="exact"/>
        <w:rPr>
          <w:rFonts w:ascii="仿宋" w:hAnsi="仿宋" w:eastAsia="仿宋"/>
          <w:sz w:val="24"/>
          <w:szCs w:val="24"/>
        </w:rPr>
      </w:pPr>
      <w:r>
        <w:rPr>
          <w:rFonts w:ascii="Calibri" w:hAnsi="Calibri" w:eastAsia="仿宋" w:cs="Calibri"/>
          <w:sz w:val="24"/>
          <w:szCs w:val="24"/>
        </w:rPr>
        <w:t>         </w:t>
      </w:r>
    </w:p>
    <w:p w14:paraId="67DF094B">
      <w:pPr>
        <w:spacing w:line="320" w:lineRule="exact"/>
        <w:ind w:firstLine="480" w:firstLineChars="200"/>
        <w:rPr>
          <w:rFonts w:hint="eastAsia" w:ascii="仿宋" w:hAnsi="仿宋" w:eastAsia="仿宋"/>
          <w:color w:val="000000" w:themeColor="text1"/>
          <w:sz w:val="24"/>
          <w:szCs w:val="24"/>
        </w:rPr>
      </w:pPr>
      <w:r>
        <w:rPr>
          <w:rFonts w:hint="eastAsia" w:ascii="仿宋" w:hAnsi="仿宋" w:eastAsia="仿宋"/>
          <w:color w:val="000000" w:themeColor="text1"/>
          <w:sz w:val="24"/>
          <w:szCs w:val="24"/>
        </w:rPr>
        <w:t>甲方接受</w:t>
      </w:r>
      <w:bookmarkStart w:id="0" w:name="_Hlk63260799"/>
      <w:r>
        <w:rPr>
          <w:rFonts w:hint="eastAsia" w:ascii="仿宋" w:hAnsi="仿宋" w:eastAsia="仿宋"/>
          <w:color w:val="000000" w:themeColor="text1"/>
          <w:sz w:val="24"/>
          <w:szCs w:val="24"/>
          <w:u w:val="single"/>
          <w:lang w:val="en-US" w:eastAsia="zh-CN"/>
        </w:rPr>
        <w:t xml:space="preserve"> </w:t>
      </w:r>
      <w:bookmarkEnd w:id="0"/>
      <w:r>
        <w:rPr>
          <w:rFonts w:hint="eastAsia" w:ascii="仿宋" w:hAnsi="仿宋" w:eastAsia="仿宋"/>
          <w:color w:val="000000" w:themeColor="text1"/>
          <w:sz w:val="24"/>
          <w:szCs w:val="24"/>
          <w:u w:val="single"/>
          <w:lang w:val="en-US" w:eastAsia="zh-CN"/>
        </w:rPr>
        <w:t>哈尔滨市第三十七中学校</w:t>
      </w:r>
      <w:r>
        <w:rPr>
          <w:rFonts w:hint="eastAsia" w:ascii="仿宋" w:hAnsi="仿宋" w:eastAsia="仿宋"/>
          <w:b/>
          <w:bCs/>
          <w:color w:val="000000" w:themeColor="text1"/>
          <w:sz w:val="24"/>
          <w:szCs w:val="24"/>
          <w:u w:val="single"/>
          <w:lang w:val="en-US" w:eastAsia="zh-CN"/>
        </w:rPr>
        <w:t>（</w:t>
      </w:r>
      <w:r>
        <w:rPr>
          <w:rFonts w:hint="eastAsia" w:ascii="仿宋" w:hAnsi="仿宋" w:eastAsia="仿宋"/>
          <w:color w:val="000000" w:themeColor="text1"/>
          <w:sz w:val="24"/>
          <w:szCs w:val="24"/>
        </w:rPr>
        <w:t>以下简称“转让方”</w:t>
      </w:r>
      <w:r>
        <w:rPr>
          <w:rFonts w:hint="eastAsia" w:ascii="仿宋" w:hAnsi="仿宋" w:eastAsia="仿宋"/>
          <w:color w:val="000000" w:themeColor="text1"/>
          <w:sz w:val="24"/>
          <w:szCs w:val="24"/>
          <w:lang w:eastAsia="zh-CN"/>
        </w:rPr>
        <w:t>）</w:t>
      </w:r>
      <w:r>
        <w:rPr>
          <w:rFonts w:hint="eastAsia" w:ascii="仿宋" w:hAnsi="仿宋" w:eastAsia="仿宋"/>
          <w:color w:val="000000" w:themeColor="text1"/>
          <w:sz w:val="24"/>
          <w:szCs w:val="24"/>
        </w:rPr>
        <w:t>委托，于</w:t>
      </w:r>
      <w:r>
        <w:rPr>
          <w:rFonts w:hint="eastAsia" w:ascii="仿宋" w:hAnsi="仿宋" w:eastAsia="仿宋"/>
          <w:color w:val="000000" w:themeColor="text1"/>
          <w:sz w:val="24"/>
          <w:szCs w:val="24"/>
          <w:lang w:val="en-US" w:eastAsia="zh-CN"/>
        </w:rPr>
        <w:t xml:space="preserve"> </w:t>
      </w:r>
      <w:r>
        <w:rPr>
          <w:rFonts w:hint="eastAsia" w:ascii="仿宋" w:hAnsi="仿宋" w:eastAsia="仿宋"/>
          <w:b/>
          <w:bCs/>
          <w:color w:val="000000" w:themeColor="text1"/>
          <w:sz w:val="24"/>
          <w:szCs w:val="24"/>
          <w:u w:val="single"/>
          <w:lang w:val="en-US" w:eastAsia="zh-CN"/>
        </w:rPr>
        <w:t>2026</w:t>
      </w:r>
      <w:r>
        <w:rPr>
          <w:rFonts w:hint="eastAsia" w:ascii="仿宋" w:hAnsi="仿宋" w:eastAsia="仿宋"/>
          <w:b/>
          <w:bCs/>
          <w:color w:val="000000" w:themeColor="text1"/>
          <w:sz w:val="24"/>
          <w:szCs w:val="24"/>
          <w:u w:val="single"/>
        </w:rPr>
        <w:t>年</w:t>
      </w:r>
      <w:r>
        <w:rPr>
          <w:rFonts w:hint="eastAsia" w:ascii="仿宋" w:hAnsi="仿宋" w:eastAsia="仿宋"/>
          <w:b/>
          <w:bCs/>
          <w:color w:val="000000" w:themeColor="text1"/>
          <w:sz w:val="24"/>
          <w:szCs w:val="24"/>
          <w:u w:val="single"/>
          <w:lang w:val="en-US" w:eastAsia="zh-CN"/>
        </w:rPr>
        <w:t>10</w:t>
      </w:r>
      <w:r>
        <w:rPr>
          <w:rFonts w:hint="eastAsia" w:ascii="仿宋" w:hAnsi="仿宋" w:eastAsia="仿宋"/>
          <w:b/>
          <w:bCs/>
          <w:color w:val="000000" w:themeColor="text1"/>
          <w:sz w:val="24"/>
          <w:szCs w:val="24"/>
          <w:u w:val="single"/>
        </w:rPr>
        <w:t>月</w:t>
      </w:r>
      <w:r>
        <w:rPr>
          <w:rFonts w:hint="eastAsia" w:ascii="仿宋" w:hAnsi="仿宋" w:eastAsia="仿宋"/>
          <w:b/>
          <w:bCs/>
          <w:color w:val="000000" w:themeColor="text1"/>
          <w:sz w:val="24"/>
          <w:szCs w:val="24"/>
          <w:u w:val="single"/>
          <w:lang w:val="en-US" w:eastAsia="zh-CN"/>
        </w:rPr>
        <w:t>13</w:t>
      </w:r>
      <w:r>
        <w:rPr>
          <w:rFonts w:hint="eastAsia" w:ascii="仿宋" w:hAnsi="仿宋" w:eastAsia="仿宋"/>
          <w:b/>
          <w:bCs/>
          <w:color w:val="000000" w:themeColor="text1"/>
          <w:sz w:val="24"/>
          <w:szCs w:val="24"/>
          <w:u w:val="single"/>
        </w:rPr>
        <w:t>日至</w:t>
      </w:r>
      <w:r>
        <w:rPr>
          <w:rFonts w:hint="eastAsia" w:ascii="仿宋" w:hAnsi="仿宋" w:eastAsia="仿宋"/>
          <w:b/>
          <w:bCs/>
          <w:color w:val="000000" w:themeColor="text1"/>
          <w:sz w:val="24"/>
          <w:szCs w:val="24"/>
          <w:u w:val="single"/>
          <w:lang w:val="en-US" w:eastAsia="zh-CN"/>
        </w:rPr>
        <w:t>2026</w:t>
      </w:r>
      <w:r>
        <w:rPr>
          <w:rFonts w:hint="eastAsia" w:ascii="仿宋" w:hAnsi="仿宋" w:eastAsia="仿宋"/>
          <w:b/>
          <w:bCs/>
          <w:color w:val="000000" w:themeColor="text1"/>
          <w:sz w:val="24"/>
          <w:szCs w:val="24"/>
          <w:u w:val="single"/>
        </w:rPr>
        <w:t>年</w:t>
      </w:r>
      <w:r>
        <w:rPr>
          <w:rFonts w:hint="eastAsia" w:ascii="仿宋" w:hAnsi="仿宋" w:eastAsia="仿宋"/>
          <w:b/>
          <w:bCs/>
          <w:color w:val="000000" w:themeColor="text1"/>
          <w:sz w:val="24"/>
          <w:szCs w:val="24"/>
          <w:u w:val="single"/>
          <w:lang w:val="en-US" w:eastAsia="zh-CN"/>
        </w:rPr>
        <w:t>10</w:t>
      </w:r>
      <w:r>
        <w:rPr>
          <w:rFonts w:hint="eastAsia" w:ascii="仿宋" w:hAnsi="仿宋" w:eastAsia="仿宋"/>
          <w:b/>
          <w:bCs/>
          <w:color w:val="000000" w:themeColor="text1"/>
          <w:sz w:val="24"/>
          <w:szCs w:val="24"/>
          <w:u w:val="single"/>
        </w:rPr>
        <w:t>月</w:t>
      </w:r>
      <w:r>
        <w:rPr>
          <w:rFonts w:hint="eastAsia" w:ascii="仿宋" w:hAnsi="仿宋" w:eastAsia="仿宋"/>
          <w:b/>
          <w:bCs/>
          <w:color w:val="000000" w:themeColor="text1"/>
          <w:sz w:val="24"/>
          <w:szCs w:val="24"/>
          <w:u w:val="single"/>
          <w:lang w:val="en-US" w:eastAsia="zh-CN"/>
        </w:rPr>
        <w:t>19</w:t>
      </w:r>
      <w:r>
        <w:rPr>
          <w:rFonts w:hint="eastAsia" w:ascii="仿宋" w:hAnsi="仿宋" w:eastAsia="仿宋"/>
          <w:b/>
          <w:bCs/>
          <w:color w:val="000000" w:themeColor="text1"/>
          <w:sz w:val="24"/>
          <w:szCs w:val="24"/>
          <w:u w:val="single"/>
        </w:rPr>
        <w:t>日</w:t>
      </w:r>
      <w:r>
        <w:rPr>
          <w:rFonts w:hint="eastAsia" w:ascii="仿宋" w:hAnsi="仿宋" w:eastAsia="仿宋"/>
          <w:color w:val="000000" w:themeColor="text1"/>
          <w:sz w:val="24"/>
          <w:szCs w:val="24"/>
        </w:rPr>
        <w:t>在</w:t>
      </w:r>
      <w:r>
        <w:rPr>
          <w:rFonts w:hint="eastAsia" w:ascii="仿宋" w:hAnsi="仿宋" w:eastAsia="仿宋"/>
          <w:color w:val="000000" w:themeColor="text1"/>
          <w:sz w:val="24"/>
          <w:szCs w:val="24"/>
          <w:lang w:val="en-US" w:eastAsia="zh-CN"/>
        </w:rPr>
        <w:t>甲方</w:t>
      </w:r>
      <w:r>
        <w:rPr>
          <w:rFonts w:hint="eastAsia" w:ascii="仿宋" w:hAnsi="仿宋" w:eastAsia="仿宋"/>
          <w:color w:val="000000" w:themeColor="text1"/>
          <w:sz w:val="24"/>
          <w:szCs w:val="24"/>
        </w:rPr>
        <w:t>网站对转让方所有的</w:t>
      </w:r>
      <w:r>
        <w:rPr>
          <w:rFonts w:hint="eastAsia" w:ascii="仿宋" w:hAnsi="仿宋" w:eastAsia="仿宋"/>
          <w:b/>
          <w:bCs/>
          <w:color w:val="000000" w:themeColor="text1"/>
          <w:sz w:val="24"/>
          <w:szCs w:val="24"/>
          <w:u w:val="single"/>
          <w:lang w:val="en-US" w:eastAsia="zh-CN"/>
        </w:rPr>
        <w:t xml:space="preserve"> 哈尔滨市第三十七中学校一批报废资产整体目转让</w:t>
      </w:r>
      <w:r>
        <w:rPr>
          <w:rFonts w:hint="eastAsia" w:ascii="仿宋" w:hAnsi="仿宋" w:eastAsia="仿宋"/>
          <w:color w:val="000000" w:themeColor="text1"/>
          <w:sz w:val="24"/>
          <w:szCs w:val="24"/>
          <w:lang w:val="en-US" w:eastAsia="zh-CN"/>
        </w:rPr>
        <w:t>项目</w:t>
      </w:r>
      <w:r>
        <w:rPr>
          <w:rFonts w:hint="eastAsia" w:ascii="仿宋" w:hAnsi="仿宋" w:eastAsia="仿宋"/>
          <w:color w:val="000000" w:themeColor="text1"/>
          <w:sz w:val="24"/>
          <w:szCs w:val="24"/>
        </w:rPr>
        <w:t>公开进行信息披露，乙方就参加本标的受让相关事宜与甲方达成协议如下：</w:t>
      </w:r>
    </w:p>
    <w:p w14:paraId="428F55A4">
      <w:pPr>
        <w:spacing w:line="320" w:lineRule="exact"/>
        <w:ind w:firstLine="480" w:firstLineChars="200"/>
        <w:rPr>
          <w:rFonts w:ascii="仿宋" w:hAnsi="仿宋" w:eastAsia="仿宋"/>
          <w:color w:val="auto"/>
          <w:sz w:val="24"/>
          <w:szCs w:val="24"/>
        </w:rPr>
      </w:pPr>
      <w:r>
        <w:rPr>
          <w:rFonts w:ascii="仿宋" w:hAnsi="仿宋" w:eastAsia="仿宋"/>
          <w:color w:val="auto"/>
          <w:sz w:val="24"/>
          <w:szCs w:val="24"/>
        </w:rPr>
        <w:t>一、</w:t>
      </w:r>
      <w:r>
        <w:rPr>
          <w:rFonts w:hint="eastAsia" w:ascii="仿宋" w:hAnsi="仿宋" w:eastAsia="仿宋"/>
          <w:color w:val="auto"/>
          <w:sz w:val="24"/>
          <w:szCs w:val="24"/>
        </w:rPr>
        <w:t>转让</w:t>
      </w:r>
      <w:r>
        <w:rPr>
          <w:rFonts w:ascii="仿宋" w:hAnsi="仿宋" w:eastAsia="仿宋"/>
          <w:color w:val="auto"/>
          <w:sz w:val="24"/>
          <w:szCs w:val="24"/>
        </w:rPr>
        <w:t>标的</w:t>
      </w:r>
      <w:r>
        <w:rPr>
          <w:rFonts w:hint="eastAsia" w:ascii="仿宋" w:hAnsi="仿宋" w:eastAsia="仿宋"/>
          <w:color w:val="auto"/>
          <w:sz w:val="24"/>
          <w:szCs w:val="24"/>
        </w:rPr>
        <w:t>情况</w:t>
      </w:r>
      <w:r>
        <w:rPr>
          <w:rFonts w:ascii="仿宋" w:hAnsi="仿宋" w:eastAsia="仿宋"/>
          <w:color w:val="auto"/>
          <w:sz w:val="24"/>
          <w:szCs w:val="24"/>
        </w:rPr>
        <w:t>：</w:t>
      </w:r>
    </w:p>
    <w:p w14:paraId="0A21A8D9">
      <w:pPr>
        <w:spacing w:line="32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1、转让标的情况：详见网站（https://hrbggzy.harbin.gov.cn）信息披露内容（下称《公告》及附件）</w:t>
      </w:r>
    </w:p>
    <w:p w14:paraId="6A519C50">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2、本次转让标的公告及附件</w:t>
      </w:r>
      <w:bookmarkStart w:id="2" w:name="_GoBack"/>
      <w:bookmarkEnd w:id="2"/>
      <w:r>
        <w:rPr>
          <w:rFonts w:hint="eastAsia" w:ascii="仿宋" w:hAnsi="仿宋" w:eastAsia="仿宋"/>
          <w:color w:val="auto"/>
          <w:sz w:val="24"/>
          <w:szCs w:val="24"/>
          <w:lang w:val="en-US" w:eastAsia="zh-CN"/>
        </w:rPr>
        <w:t>已</w:t>
      </w:r>
      <w:r>
        <w:rPr>
          <w:rFonts w:hint="eastAsia" w:ascii="仿宋" w:hAnsi="仿宋" w:eastAsia="仿宋"/>
          <w:color w:val="auto"/>
          <w:sz w:val="24"/>
          <w:szCs w:val="24"/>
        </w:rPr>
        <w:t>于</w:t>
      </w:r>
      <w:r>
        <w:rPr>
          <w:rFonts w:hint="eastAsia" w:ascii="仿宋" w:hAnsi="仿宋" w:eastAsia="仿宋"/>
          <w:b/>
          <w:bCs/>
          <w:color w:val="auto"/>
          <w:sz w:val="24"/>
          <w:szCs w:val="24"/>
          <w:u w:val="single"/>
          <w:lang w:val="en-US" w:eastAsia="zh-CN"/>
        </w:rPr>
        <w:t>2026</w:t>
      </w:r>
      <w:r>
        <w:rPr>
          <w:rFonts w:hint="eastAsia" w:ascii="仿宋" w:hAnsi="仿宋" w:eastAsia="仿宋"/>
          <w:b/>
          <w:bCs/>
          <w:color w:val="auto"/>
          <w:sz w:val="24"/>
          <w:szCs w:val="24"/>
          <w:u w:val="single"/>
        </w:rPr>
        <w:t>年</w:t>
      </w:r>
      <w:r>
        <w:rPr>
          <w:rFonts w:hint="eastAsia" w:ascii="仿宋" w:hAnsi="仿宋" w:eastAsia="仿宋"/>
          <w:b/>
          <w:bCs/>
          <w:color w:val="auto"/>
          <w:sz w:val="24"/>
          <w:szCs w:val="24"/>
          <w:u w:val="single"/>
          <w:lang w:val="en-US" w:eastAsia="zh-CN"/>
        </w:rPr>
        <w:t>10</w:t>
      </w:r>
      <w:r>
        <w:rPr>
          <w:rFonts w:hint="eastAsia" w:ascii="仿宋" w:hAnsi="仿宋" w:eastAsia="仿宋"/>
          <w:b/>
          <w:bCs/>
          <w:color w:val="auto"/>
          <w:sz w:val="24"/>
          <w:szCs w:val="24"/>
          <w:u w:val="single"/>
        </w:rPr>
        <w:t>月</w:t>
      </w:r>
      <w:r>
        <w:rPr>
          <w:rFonts w:hint="eastAsia" w:ascii="仿宋" w:hAnsi="仿宋" w:eastAsia="仿宋"/>
          <w:b/>
          <w:bCs/>
          <w:color w:val="auto"/>
          <w:sz w:val="24"/>
          <w:szCs w:val="24"/>
          <w:u w:val="single"/>
          <w:lang w:val="en-US" w:eastAsia="zh-CN"/>
        </w:rPr>
        <w:t>13</w:t>
      </w:r>
      <w:r>
        <w:rPr>
          <w:rFonts w:hint="eastAsia" w:ascii="仿宋" w:hAnsi="仿宋" w:eastAsia="仿宋"/>
          <w:b/>
          <w:bCs/>
          <w:color w:val="auto"/>
          <w:sz w:val="24"/>
          <w:szCs w:val="24"/>
          <w:u w:val="single"/>
        </w:rPr>
        <w:t>日</w:t>
      </w:r>
      <w:r>
        <w:rPr>
          <w:rFonts w:hint="eastAsia" w:ascii="仿宋" w:hAnsi="仿宋" w:eastAsia="仿宋"/>
          <w:color w:val="auto"/>
          <w:sz w:val="24"/>
          <w:szCs w:val="24"/>
        </w:rPr>
        <w:t>起在https://hrbggzy.harbin.gov.cn网站进行公开披露</w:t>
      </w:r>
      <w:r>
        <w:rPr>
          <w:rFonts w:ascii="仿宋" w:hAnsi="仿宋" w:eastAsia="仿宋"/>
          <w:color w:val="auto"/>
          <w:sz w:val="24"/>
          <w:szCs w:val="24"/>
        </w:rPr>
        <w:t>。</w:t>
      </w:r>
      <w:r>
        <w:rPr>
          <w:rFonts w:hint="eastAsia" w:ascii="仿宋" w:hAnsi="仿宋" w:eastAsia="仿宋"/>
          <w:color w:val="auto"/>
          <w:sz w:val="24"/>
          <w:szCs w:val="24"/>
        </w:rPr>
        <w:t>乙方在签署本协议时已详细阅读过《公告》及附件信息披露内容。</w:t>
      </w:r>
    </w:p>
    <w:p w14:paraId="511235FE">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二</w:t>
      </w:r>
      <w:r>
        <w:rPr>
          <w:rFonts w:ascii="仿宋" w:hAnsi="仿宋" w:eastAsia="仿宋"/>
          <w:color w:val="auto"/>
          <w:sz w:val="24"/>
          <w:szCs w:val="24"/>
        </w:rPr>
        <w:t>、</w:t>
      </w:r>
      <w:r>
        <w:rPr>
          <w:rFonts w:hint="eastAsia" w:ascii="仿宋" w:hAnsi="仿宋" w:eastAsia="仿宋"/>
          <w:color w:val="auto"/>
          <w:sz w:val="24"/>
          <w:szCs w:val="24"/>
        </w:rPr>
        <w:t>乙方的主体资格</w:t>
      </w:r>
    </w:p>
    <w:p w14:paraId="1E561F71">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1、乙方具有完全民事权利</w:t>
      </w:r>
      <w:r>
        <w:rPr>
          <w:rFonts w:hint="eastAsia" w:ascii="仿宋" w:hAnsi="仿宋" w:eastAsia="仿宋"/>
          <w:color w:val="auto"/>
          <w:sz w:val="24"/>
          <w:szCs w:val="24"/>
          <w:lang w:val="en-US" w:eastAsia="zh-CN"/>
        </w:rPr>
        <w:t>能力</w:t>
      </w:r>
      <w:r>
        <w:rPr>
          <w:rFonts w:hint="eastAsia" w:ascii="仿宋" w:hAnsi="仿宋" w:eastAsia="仿宋"/>
          <w:color w:val="auto"/>
          <w:sz w:val="24"/>
          <w:szCs w:val="24"/>
        </w:rPr>
        <w:t>和</w:t>
      </w:r>
      <w:r>
        <w:rPr>
          <w:rFonts w:hint="eastAsia" w:ascii="仿宋" w:hAnsi="仿宋" w:eastAsia="仿宋"/>
          <w:color w:val="auto"/>
          <w:sz w:val="24"/>
          <w:szCs w:val="24"/>
          <w:lang w:val="en-US" w:eastAsia="zh-CN"/>
        </w:rPr>
        <w:t>完全</w:t>
      </w:r>
      <w:r>
        <w:rPr>
          <w:rFonts w:hint="eastAsia" w:ascii="仿宋" w:hAnsi="仿宋" w:eastAsia="仿宋"/>
          <w:color w:val="auto"/>
          <w:sz w:val="24"/>
          <w:szCs w:val="24"/>
        </w:rPr>
        <w:t>民事行为能力，具有良好的商业信用、良好的财务状况和支付能力。</w:t>
      </w:r>
    </w:p>
    <w:p w14:paraId="6A016A53">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2、乙方承诺其所提供的受让本标的相关文件材料内容均真实、准确、合法</w:t>
      </w:r>
      <w:r>
        <w:rPr>
          <w:rFonts w:hint="eastAsia" w:ascii="仿宋" w:hAnsi="仿宋" w:eastAsia="仿宋"/>
          <w:color w:val="auto"/>
          <w:sz w:val="24"/>
          <w:szCs w:val="24"/>
          <w:lang w:val="en-US" w:eastAsia="zh-CN"/>
        </w:rPr>
        <w:t>合规</w:t>
      </w:r>
      <w:r>
        <w:rPr>
          <w:rFonts w:hint="eastAsia" w:ascii="仿宋" w:hAnsi="仿宋" w:eastAsia="仿宋"/>
          <w:color w:val="auto"/>
          <w:sz w:val="24"/>
          <w:szCs w:val="24"/>
        </w:rPr>
        <w:t>、有效，所填写的联系人信息、联系地址真实、有效，甲方如需书面送达关于本次转让事项的法律文书、材料等，应向该地址</w:t>
      </w:r>
      <w:r>
        <w:rPr>
          <w:rFonts w:hint="eastAsia" w:ascii="仿宋" w:hAnsi="仿宋" w:eastAsia="仿宋"/>
          <w:color w:val="auto"/>
          <w:sz w:val="24"/>
          <w:szCs w:val="24"/>
          <w:lang w:val="en-US" w:eastAsia="zh-CN"/>
        </w:rPr>
        <w:t>送达</w:t>
      </w:r>
      <w:r>
        <w:rPr>
          <w:rFonts w:hint="eastAsia" w:ascii="仿宋" w:hAnsi="仿宋" w:eastAsia="仿宋"/>
          <w:color w:val="auto"/>
          <w:sz w:val="24"/>
          <w:szCs w:val="24"/>
        </w:rPr>
        <w:t>；如该地址发生变更，乙方应在变更之日起3日</w:t>
      </w:r>
      <w:r>
        <w:rPr>
          <w:rFonts w:hint="default" w:ascii="仿宋" w:hAnsi="仿宋" w:eastAsia="仿宋"/>
          <w:color w:val="auto"/>
          <w:sz w:val="24"/>
          <w:szCs w:val="24"/>
          <w:lang w:val="en-US"/>
        </w:rPr>
        <w:t>内</w:t>
      </w:r>
      <w:r>
        <w:rPr>
          <w:rFonts w:hint="eastAsia" w:ascii="仿宋" w:hAnsi="仿宋" w:eastAsia="仿宋"/>
          <w:color w:val="auto"/>
          <w:sz w:val="24"/>
          <w:szCs w:val="24"/>
        </w:rPr>
        <w:t>书面通知甲方（以邮件、微信等其他方式送达的均参照书面送达的约定在变更之日起3日内书面通知甲方）</w:t>
      </w:r>
      <w:r>
        <w:rPr>
          <w:rFonts w:hint="eastAsia" w:ascii="仿宋" w:hAnsi="仿宋" w:eastAsia="仿宋"/>
          <w:color w:val="auto"/>
          <w:sz w:val="24"/>
          <w:szCs w:val="24"/>
          <w:lang w:eastAsia="zh-CN"/>
        </w:rPr>
        <w:t>，</w:t>
      </w:r>
      <w:r>
        <w:rPr>
          <w:rFonts w:hint="eastAsia" w:ascii="仿宋" w:hAnsi="仿宋" w:eastAsia="仿宋"/>
          <w:color w:val="auto"/>
          <w:sz w:val="24"/>
          <w:szCs w:val="24"/>
        </w:rPr>
        <w:t>否则由于不能送达所产生的一切法律后果由乙方自行承担，甲方按照原约定的地址送达的法律文书、材料等视为乙方已经收到，如</w:t>
      </w:r>
      <w:r>
        <w:rPr>
          <w:rFonts w:hint="eastAsia" w:ascii="仿宋" w:hAnsi="仿宋" w:eastAsia="仿宋"/>
          <w:color w:val="auto"/>
          <w:sz w:val="24"/>
          <w:szCs w:val="24"/>
          <w:lang w:val="en-US" w:eastAsia="zh-CN"/>
        </w:rPr>
        <w:t>乙方</w:t>
      </w:r>
      <w:r>
        <w:rPr>
          <w:rFonts w:hint="eastAsia" w:ascii="仿宋" w:hAnsi="仿宋" w:eastAsia="仿宋"/>
          <w:color w:val="auto"/>
          <w:sz w:val="24"/>
          <w:szCs w:val="24"/>
        </w:rPr>
        <w:t>拒收上述法律文书、材料视同已经送达</w:t>
      </w:r>
      <w:r>
        <w:rPr>
          <w:rFonts w:hint="eastAsia" w:ascii="仿宋" w:hAnsi="仿宋" w:eastAsia="仿宋"/>
          <w:color w:val="auto"/>
          <w:sz w:val="24"/>
          <w:szCs w:val="24"/>
          <w:lang w:val="en-US" w:eastAsia="zh-CN"/>
        </w:rPr>
        <w:t xml:space="preserve"> </w:t>
      </w:r>
      <w:r>
        <w:rPr>
          <w:rFonts w:hint="eastAsia" w:ascii="仿宋" w:hAnsi="仿宋" w:eastAsia="仿宋"/>
          <w:color w:val="auto"/>
          <w:sz w:val="24"/>
          <w:szCs w:val="24"/>
        </w:rPr>
        <w:t>。</w:t>
      </w:r>
    </w:p>
    <w:p w14:paraId="14575B97">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三、</w:t>
      </w:r>
      <w:r>
        <w:rPr>
          <w:rFonts w:ascii="仿宋" w:hAnsi="仿宋" w:eastAsia="仿宋"/>
          <w:color w:val="auto"/>
          <w:sz w:val="24"/>
          <w:szCs w:val="24"/>
        </w:rPr>
        <w:t>保证金</w:t>
      </w:r>
    </w:p>
    <w:p w14:paraId="7EFFB480">
      <w:pPr>
        <w:spacing w:line="320" w:lineRule="exact"/>
        <w:ind w:firstLine="480" w:firstLineChars="200"/>
        <w:rPr>
          <w:rFonts w:ascii="仿宋" w:hAnsi="仿宋" w:eastAsia="仿宋"/>
          <w:color w:val="auto"/>
          <w:sz w:val="22"/>
          <w:szCs w:val="22"/>
        </w:rPr>
      </w:pPr>
      <w:r>
        <w:rPr>
          <w:rFonts w:hint="eastAsia" w:ascii="仿宋" w:hAnsi="仿宋" w:eastAsia="仿宋"/>
          <w:color w:val="auto"/>
          <w:sz w:val="24"/>
          <w:szCs w:val="24"/>
        </w:rPr>
        <w:t>1、乙方须按《公告》信息披露内容中要求的时间</w:t>
      </w:r>
      <w:r>
        <w:rPr>
          <w:rFonts w:ascii="仿宋" w:hAnsi="仿宋" w:eastAsia="仿宋"/>
          <w:color w:val="auto"/>
          <w:sz w:val="24"/>
          <w:szCs w:val="24"/>
        </w:rPr>
        <w:t>向甲方</w:t>
      </w:r>
      <w:r>
        <w:rPr>
          <w:rFonts w:hint="eastAsia" w:ascii="仿宋" w:hAnsi="仿宋" w:eastAsia="仿宋"/>
          <w:color w:val="auto"/>
          <w:sz w:val="24"/>
          <w:szCs w:val="24"/>
        </w:rPr>
        <w:t>指定账户</w:t>
      </w:r>
      <w:r>
        <w:rPr>
          <w:rFonts w:ascii="仿宋" w:hAnsi="仿宋" w:eastAsia="仿宋"/>
          <w:color w:val="auto"/>
          <w:sz w:val="24"/>
          <w:szCs w:val="24"/>
        </w:rPr>
        <w:t>交付保证金</w:t>
      </w:r>
      <w:r>
        <w:rPr>
          <w:rFonts w:hint="eastAsia" w:ascii="仿宋" w:hAnsi="仿宋" w:eastAsia="仿宋"/>
          <w:color w:val="auto"/>
          <w:sz w:val="24"/>
          <w:szCs w:val="24"/>
        </w:rPr>
        <w:t>人民币</w:t>
      </w:r>
      <w:r>
        <w:rPr>
          <w:rFonts w:hint="eastAsia" w:ascii="仿宋" w:hAnsi="仿宋" w:eastAsia="仿宋"/>
          <w:b/>
          <w:bCs/>
          <w:color w:val="auto"/>
          <w:sz w:val="24"/>
          <w:szCs w:val="24"/>
          <w:u w:val="thick"/>
          <w:lang w:val="en-US" w:eastAsia="zh-CN"/>
        </w:rPr>
        <w:t xml:space="preserve"> 10000</w:t>
      </w:r>
      <w:r>
        <w:rPr>
          <w:rFonts w:hint="eastAsia" w:ascii="仿宋" w:hAnsi="仿宋" w:eastAsia="仿宋"/>
          <w:b/>
          <w:bCs/>
          <w:color w:val="auto"/>
          <w:sz w:val="24"/>
          <w:szCs w:val="24"/>
          <w:u w:val="thick"/>
        </w:rPr>
        <w:t>元</w:t>
      </w:r>
      <w:r>
        <w:rPr>
          <w:rFonts w:hint="eastAsia" w:ascii="仿宋" w:hAnsi="仿宋" w:eastAsia="仿宋"/>
          <w:b/>
          <w:bCs/>
          <w:color w:val="auto"/>
          <w:sz w:val="24"/>
          <w:szCs w:val="24"/>
        </w:rPr>
        <w:t>/标的</w:t>
      </w:r>
      <w:r>
        <w:rPr>
          <w:rFonts w:ascii="仿宋" w:hAnsi="仿宋" w:eastAsia="仿宋"/>
          <w:color w:val="auto"/>
          <w:sz w:val="24"/>
          <w:szCs w:val="24"/>
        </w:rPr>
        <w:t>。</w:t>
      </w:r>
      <w:r>
        <w:rPr>
          <w:rFonts w:hint="eastAsia" w:ascii="仿宋" w:hAnsi="仿宋" w:eastAsia="仿宋"/>
          <w:color w:val="auto"/>
          <w:sz w:val="24"/>
          <w:szCs w:val="24"/>
        </w:rPr>
        <w:t>乙方交纳保证金完成报名并签署本协议即可视为</w:t>
      </w:r>
      <w:r>
        <w:rPr>
          <w:rFonts w:ascii="仿宋" w:hAnsi="仿宋" w:eastAsia="仿宋"/>
          <w:color w:val="auto"/>
          <w:sz w:val="24"/>
          <w:szCs w:val="24"/>
        </w:rPr>
        <w:t>已完成对</w:t>
      </w:r>
      <w:r>
        <w:rPr>
          <w:rFonts w:hint="eastAsia" w:ascii="仿宋" w:hAnsi="仿宋" w:eastAsia="仿宋"/>
          <w:color w:val="auto"/>
          <w:sz w:val="24"/>
          <w:szCs w:val="24"/>
        </w:rPr>
        <w:t>转让</w:t>
      </w:r>
      <w:r>
        <w:rPr>
          <w:rFonts w:ascii="仿宋" w:hAnsi="仿宋" w:eastAsia="仿宋"/>
          <w:color w:val="auto"/>
          <w:sz w:val="24"/>
          <w:szCs w:val="24"/>
        </w:rPr>
        <w:t>标的的全部尽职调查，并已详细阅读且完全认可</w:t>
      </w:r>
      <w:r>
        <w:rPr>
          <w:rFonts w:hint="eastAsia" w:ascii="仿宋" w:hAnsi="仿宋" w:eastAsia="仿宋"/>
          <w:color w:val="auto"/>
          <w:sz w:val="24"/>
          <w:szCs w:val="24"/>
        </w:rPr>
        <w:t>及接受</w:t>
      </w:r>
      <w:r>
        <w:rPr>
          <w:rFonts w:ascii="仿宋" w:hAnsi="仿宋" w:eastAsia="仿宋"/>
          <w:color w:val="auto"/>
          <w:sz w:val="24"/>
          <w:szCs w:val="24"/>
        </w:rPr>
        <w:t>本次交易</w:t>
      </w:r>
      <w:r>
        <w:rPr>
          <w:rFonts w:hint="eastAsia" w:ascii="仿宋" w:hAnsi="仿宋" w:eastAsia="仿宋"/>
          <w:color w:val="auto"/>
          <w:sz w:val="24"/>
          <w:szCs w:val="24"/>
        </w:rPr>
        <w:t>相关交易文件</w:t>
      </w:r>
      <w:r>
        <w:rPr>
          <w:rFonts w:ascii="仿宋" w:hAnsi="仿宋" w:eastAsia="仿宋"/>
          <w:color w:val="auto"/>
          <w:sz w:val="24"/>
          <w:szCs w:val="24"/>
        </w:rPr>
        <w:t>的全部内容</w:t>
      </w:r>
      <w:r>
        <w:rPr>
          <w:rFonts w:hint="eastAsia" w:ascii="仿宋" w:hAnsi="仿宋" w:eastAsia="仿宋"/>
          <w:color w:val="auto"/>
          <w:sz w:val="24"/>
          <w:szCs w:val="24"/>
        </w:rPr>
        <w:t>。一份保证金只能成功受让一个标的，如产生竞价，该保证金转为竞价保证金。乙方</w:t>
      </w:r>
      <w:r>
        <w:rPr>
          <w:rFonts w:ascii="仿宋" w:hAnsi="仿宋" w:eastAsia="仿宋"/>
          <w:color w:val="auto"/>
          <w:sz w:val="24"/>
          <w:szCs w:val="24"/>
        </w:rPr>
        <w:t>被确定为</w:t>
      </w:r>
      <w:r>
        <w:rPr>
          <w:rFonts w:hint="eastAsia" w:ascii="仿宋" w:hAnsi="仿宋" w:eastAsia="仿宋"/>
          <w:color w:val="auto"/>
          <w:sz w:val="24"/>
          <w:szCs w:val="24"/>
          <w:lang w:val="en-US" w:eastAsia="zh-CN"/>
        </w:rPr>
        <w:t>受让方</w:t>
      </w:r>
      <w:r>
        <w:rPr>
          <w:rFonts w:ascii="仿宋" w:hAnsi="仿宋" w:eastAsia="仿宋"/>
          <w:color w:val="auto"/>
          <w:sz w:val="24"/>
          <w:szCs w:val="24"/>
        </w:rPr>
        <w:t>的，其交纳的保证金按</w:t>
      </w:r>
      <w:r>
        <w:rPr>
          <w:rFonts w:hint="eastAsia" w:ascii="仿宋" w:hAnsi="仿宋" w:eastAsia="仿宋" w:cs="宋体"/>
          <w:color w:val="auto"/>
          <w:kern w:val="0"/>
          <w:sz w:val="24"/>
          <w:szCs w:val="24"/>
        </w:rPr>
        <w:t>《公告》或其他交易文件要求</w:t>
      </w:r>
      <w:r>
        <w:rPr>
          <w:rFonts w:ascii="仿宋" w:hAnsi="仿宋" w:eastAsia="仿宋"/>
          <w:color w:val="auto"/>
          <w:sz w:val="24"/>
          <w:szCs w:val="24"/>
        </w:rPr>
        <w:t>处置。</w:t>
      </w:r>
      <w:r>
        <w:rPr>
          <w:rFonts w:hint="eastAsia" w:ascii="仿宋" w:hAnsi="仿宋" w:eastAsia="仿宋"/>
          <w:color w:val="auto"/>
          <w:sz w:val="24"/>
          <w:szCs w:val="24"/>
          <w:highlight w:val="none"/>
        </w:rPr>
        <w:t>未成交意向</w:t>
      </w:r>
      <w:r>
        <w:rPr>
          <w:rFonts w:hint="eastAsia" w:ascii="仿宋" w:hAnsi="仿宋" w:eastAsia="仿宋"/>
          <w:color w:val="auto"/>
          <w:sz w:val="24"/>
          <w:szCs w:val="24"/>
          <w:highlight w:val="none"/>
          <w:lang w:val="en-US" w:eastAsia="zh-CN"/>
        </w:rPr>
        <w:t>受让方</w:t>
      </w:r>
      <w:r>
        <w:rPr>
          <w:rFonts w:hint="eastAsia" w:ascii="仿宋" w:hAnsi="仿宋" w:eastAsia="仿宋"/>
          <w:color w:val="auto"/>
          <w:sz w:val="24"/>
          <w:szCs w:val="24"/>
          <w:highlight w:val="none"/>
        </w:rPr>
        <w:t>保证金在限时竞价结束后2-5个工作日办理保证金原路带息退还手续，利息及具体到账时间以银行系统为准。</w:t>
      </w:r>
    </w:p>
    <w:p w14:paraId="45570A18">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2、乙方须在公告报名截止时间前办理报名登记并提交相关材料，并在递交保证金的截止时间前将保证金存入甲方指定账户，否则不具备参与交易资格。</w:t>
      </w:r>
    </w:p>
    <w:p w14:paraId="40A4E54C">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四、交易方式</w:t>
      </w:r>
    </w:p>
    <w:p w14:paraId="5923AC5C">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1、如征集到两个及以上（含两个）符合条件的意向</w:t>
      </w:r>
      <w:r>
        <w:rPr>
          <w:rFonts w:hint="eastAsia" w:ascii="仿宋" w:hAnsi="仿宋" w:eastAsia="仿宋"/>
          <w:color w:val="auto"/>
          <w:sz w:val="24"/>
          <w:szCs w:val="24"/>
          <w:lang w:val="en-US" w:eastAsia="zh-CN"/>
        </w:rPr>
        <w:t>受让方</w:t>
      </w:r>
      <w:r>
        <w:rPr>
          <w:rFonts w:hint="eastAsia" w:ascii="仿宋" w:hAnsi="仿宋" w:eastAsia="仿宋"/>
          <w:color w:val="auto"/>
          <w:sz w:val="24"/>
          <w:szCs w:val="24"/>
        </w:rPr>
        <w:t>，采用增价的网络竞价方式成交。</w:t>
      </w:r>
    </w:p>
    <w:p w14:paraId="69DE635B">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2、如本标的征集到一个</w:t>
      </w:r>
      <w:r>
        <w:rPr>
          <w:rFonts w:hint="eastAsia" w:ascii="仿宋" w:hAnsi="仿宋" w:eastAsia="仿宋"/>
          <w:color w:val="auto"/>
          <w:sz w:val="24"/>
          <w:szCs w:val="24"/>
          <w:lang w:val="en-US" w:eastAsia="zh-CN"/>
        </w:rPr>
        <w:t>符合条件的</w:t>
      </w:r>
      <w:r>
        <w:rPr>
          <w:rFonts w:hint="eastAsia" w:ascii="仿宋" w:hAnsi="仿宋" w:eastAsia="仿宋"/>
          <w:color w:val="auto"/>
          <w:sz w:val="24"/>
          <w:szCs w:val="24"/>
        </w:rPr>
        <w:t>意向</w:t>
      </w:r>
      <w:r>
        <w:rPr>
          <w:rFonts w:hint="eastAsia" w:ascii="仿宋" w:hAnsi="仿宋" w:eastAsia="仿宋"/>
          <w:color w:val="auto"/>
          <w:sz w:val="24"/>
          <w:szCs w:val="24"/>
          <w:lang w:val="en-US" w:eastAsia="zh-CN"/>
        </w:rPr>
        <w:t>受让方</w:t>
      </w:r>
      <w:r>
        <w:rPr>
          <w:rFonts w:hint="eastAsia" w:ascii="仿宋" w:hAnsi="仿宋" w:eastAsia="仿宋"/>
          <w:color w:val="auto"/>
          <w:sz w:val="24"/>
          <w:szCs w:val="24"/>
        </w:rPr>
        <w:t>（须参与</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），可以采取协议方式成交。</w:t>
      </w:r>
    </w:p>
    <w:p w14:paraId="37D8EC6E">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五、竞价要求</w:t>
      </w:r>
    </w:p>
    <w:p w14:paraId="6C82879F">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lang w:val="en-US" w:eastAsia="zh-CN"/>
        </w:rPr>
        <w:t>1、</w:t>
      </w:r>
      <w:r>
        <w:rPr>
          <w:rFonts w:hint="eastAsia" w:ascii="仿宋" w:hAnsi="仿宋" w:eastAsia="仿宋"/>
          <w:color w:val="auto"/>
          <w:sz w:val="24"/>
          <w:szCs w:val="24"/>
        </w:rPr>
        <w:t>意向</w:t>
      </w:r>
      <w:r>
        <w:rPr>
          <w:rFonts w:hint="eastAsia" w:ascii="仿宋" w:hAnsi="仿宋" w:eastAsia="仿宋"/>
          <w:color w:val="auto"/>
          <w:sz w:val="24"/>
          <w:szCs w:val="24"/>
          <w:lang w:val="en-US" w:eastAsia="zh-CN"/>
        </w:rPr>
        <w:t>受让方</w:t>
      </w:r>
      <w:r>
        <w:rPr>
          <w:rFonts w:hint="eastAsia" w:ascii="仿宋" w:hAnsi="仿宋" w:eastAsia="仿宋"/>
          <w:color w:val="auto"/>
          <w:sz w:val="24"/>
          <w:szCs w:val="24"/>
        </w:rPr>
        <w:t>在报名登记前请务必登录网站（https://hrbggzy.harbin.gov.cn），了解所有交易文件中有关标的情况、竞买人资格要求、注册报名、保证金缴纳、竞买操作及款项支付方式、特别提示等内容。如未全面了解相关内容，违反相关规定，将承担无法参与项目竞买、保证金不予退还等不利后果，</w:t>
      </w:r>
      <w:r>
        <w:rPr>
          <w:rFonts w:hint="default" w:ascii="仿宋" w:hAnsi="仿宋" w:eastAsia="仿宋"/>
          <w:color w:val="auto"/>
          <w:sz w:val="24"/>
          <w:szCs w:val="24"/>
          <w:lang w:val="en-US"/>
        </w:rPr>
        <w:t>请</w:t>
      </w:r>
      <w:r>
        <w:rPr>
          <w:rFonts w:hint="eastAsia" w:ascii="仿宋" w:hAnsi="仿宋" w:eastAsia="仿宋"/>
          <w:color w:val="auto"/>
          <w:sz w:val="24"/>
          <w:szCs w:val="24"/>
        </w:rPr>
        <w:t>审慎参与竞买。</w:t>
      </w:r>
    </w:p>
    <w:p w14:paraId="7B941B1A">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2、用户注册、项目报名及在线竞价具体操作方法可点击网页页首“办事指南”下《</w:t>
      </w:r>
      <w:r>
        <w:rPr>
          <w:rFonts w:hint="eastAsia" w:ascii="仿宋" w:hAnsi="仿宋" w:eastAsia="仿宋"/>
          <w:color w:val="auto"/>
          <w:sz w:val="24"/>
          <w:szCs w:val="24"/>
          <w:lang w:val="en-US" w:eastAsia="zh-CN"/>
        </w:rPr>
        <w:t>受让方</w:t>
      </w:r>
      <w:r>
        <w:rPr>
          <w:rFonts w:hint="eastAsia" w:ascii="仿宋" w:hAnsi="仿宋" w:eastAsia="仿宋"/>
          <w:color w:val="auto"/>
          <w:sz w:val="24"/>
          <w:szCs w:val="24"/>
        </w:rPr>
        <w:t>操作手册》处查看。操作过程中请仔细阅读各类系统提示。</w:t>
      </w:r>
    </w:p>
    <w:p w14:paraId="4AB6176C">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3、账户管理</w:t>
      </w:r>
    </w:p>
    <w:p w14:paraId="2B1FB82B">
      <w:pPr>
        <w:spacing w:line="32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乙方注册网络登录账号后，登录名、密码等所有账号信息完全由乙方自行设定，其安全性及保密性由乙方自行负责，并自行承担由此带来的一切经济损失和法律责任。乙方在其以该</w:t>
      </w:r>
      <w:r>
        <w:rPr>
          <w:rFonts w:hint="eastAsia" w:ascii="仿宋" w:hAnsi="仿宋" w:eastAsia="仿宋"/>
          <w:color w:val="auto"/>
          <w:sz w:val="24"/>
          <w:szCs w:val="24"/>
          <w:lang w:val="en-US" w:eastAsia="zh-CN"/>
        </w:rPr>
        <w:t>账</w:t>
      </w:r>
      <w:r>
        <w:rPr>
          <w:rFonts w:hint="eastAsia" w:ascii="仿宋" w:hAnsi="仿宋" w:eastAsia="仿宋"/>
          <w:color w:val="auto"/>
          <w:sz w:val="24"/>
          <w:szCs w:val="24"/>
        </w:rPr>
        <w:t>户登录进入网络</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系统之后，</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系统的一切行为均视为乙方本人操作行为，甲方不承担任何责任。</w:t>
      </w:r>
    </w:p>
    <w:p w14:paraId="12543D97">
      <w:pPr>
        <w:numPr>
          <w:ilvl w:val="0"/>
          <w:numId w:val="0"/>
        </w:numPr>
        <w:spacing w:line="320" w:lineRule="exact"/>
        <w:ind w:firstLine="480" w:firstLineChars="200"/>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4、鉴于信息网络存在一定的不可控因素，整个交易过程中任一环节均可能因为信息发布平台网站、网络、系统、软硬件等原因导致项目无法正常进行，乙方对此应当了解并认可，若出现上述情况，乙方应当无条件配合甲方及转让方进行后续处理，甲方不对此承担任何责任。甲方根据实际情况做出继续交易或者重新交易、终止交易等的决定。</w:t>
      </w:r>
    </w:p>
    <w:p w14:paraId="29B62FD3">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六、</w:t>
      </w:r>
      <w:r>
        <w:rPr>
          <w:rFonts w:hint="eastAsia" w:ascii="仿宋" w:hAnsi="仿宋" w:eastAsia="仿宋"/>
          <w:color w:val="auto"/>
          <w:sz w:val="24"/>
          <w:szCs w:val="24"/>
          <w:lang w:val="en-US" w:eastAsia="zh-CN"/>
        </w:rPr>
        <w:t>交易服务费的</w:t>
      </w:r>
      <w:r>
        <w:rPr>
          <w:rFonts w:hint="eastAsia" w:ascii="仿宋" w:hAnsi="仿宋" w:eastAsia="仿宋"/>
          <w:color w:val="auto"/>
          <w:sz w:val="24"/>
          <w:szCs w:val="24"/>
        </w:rPr>
        <w:t>收取</w:t>
      </w:r>
    </w:p>
    <w:p w14:paraId="181077B8">
      <w:pPr>
        <w:numPr>
          <w:ilvl w:val="0"/>
          <w:numId w:val="0"/>
        </w:numPr>
        <w:spacing w:line="320" w:lineRule="exact"/>
        <w:ind w:firstLine="440" w:firstLineChars="200"/>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报废车辆转让项目的交易服务费按成交价款的5%进行收取；其余项目成交金额在10000元(不含)以下的，不收取交易服务费;成交金额在10000元(含)以上的，按照成交金额的5%收取服务费。</w:t>
      </w:r>
    </w:p>
    <w:p w14:paraId="76780A94">
      <w:pPr>
        <w:numPr>
          <w:ilvl w:val="0"/>
          <w:numId w:val="0"/>
        </w:numPr>
        <w:spacing w:line="320" w:lineRule="exact"/>
        <w:ind w:firstLine="440" w:firstLineChars="200"/>
        <w:rPr>
          <w:rFonts w:hint="eastAsia" w:ascii="仿宋" w:hAnsi="仿宋" w:eastAsia="仿宋" w:cs="仿宋"/>
          <w:color w:val="auto"/>
          <w:sz w:val="24"/>
          <w:szCs w:val="24"/>
          <w:lang w:val="en-US" w:eastAsia="zh-CN"/>
        </w:rPr>
      </w:pPr>
      <w:r>
        <w:rPr>
          <w:rFonts w:hint="eastAsia" w:ascii="仿宋" w:hAnsi="仿宋" w:eastAsia="仿宋"/>
          <w:color w:val="auto"/>
          <w:sz w:val="22"/>
          <w:szCs w:val="22"/>
          <w:lang w:val="en-US" w:eastAsia="zh-CN"/>
        </w:rPr>
        <w:t>上述服务费</w:t>
      </w:r>
      <w:r>
        <w:rPr>
          <w:rFonts w:hint="eastAsia" w:ascii="仿宋" w:hAnsi="仿宋" w:eastAsia="仿宋" w:cs="仿宋"/>
          <w:color w:val="auto"/>
          <w:sz w:val="24"/>
          <w:szCs w:val="24"/>
          <w:lang w:val="en-US" w:eastAsia="zh-CN"/>
        </w:rPr>
        <w:t>不足500元，按500元收取。</w:t>
      </w:r>
    </w:p>
    <w:p w14:paraId="1FA05047">
      <w:pPr>
        <w:numPr>
          <w:ilvl w:val="0"/>
          <w:numId w:val="0"/>
        </w:numPr>
        <w:spacing w:line="320" w:lineRule="exact"/>
        <w:ind w:firstLine="440" w:firstLineChars="200"/>
        <w:rPr>
          <w:rFonts w:hint="eastAsia" w:ascii="仿宋" w:hAnsi="仿宋" w:eastAsia="仿宋" w:cstheme="minorBidi"/>
          <w:color w:val="auto"/>
          <w:sz w:val="22"/>
          <w:szCs w:val="22"/>
          <w:lang w:val="en-US" w:eastAsia="zh-CN"/>
        </w:rPr>
      </w:pPr>
      <w:r>
        <w:rPr>
          <w:rFonts w:hint="eastAsia" w:ascii="仿宋" w:hAnsi="仿宋" w:eastAsia="仿宋" w:cstheme="minorBidi"/>
          <w:color w:val="auto"/>
          <w:sz w:val="22"/>
          <w:szCs w:val="22"/>
        </w:rPr>
        <w:t>《公告》及附件关于交易服务费的收取与本协议不一致的，以《公告》及附件为准。</w:t>
      </w:r>
    </w:p>
    <w:p w14:paraId="29274BDB">
      <w:pPr>
        <w:spacing w:line="32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七、成交价款结算</w:t>
      </w:r>
    </w:p>
    <w:p w14:paraId="17B1307C">
      <w:pPr>
        <w:spacing w:line="320" w:lineRule="exact"/>
        <w:ind w:firstLine="480" w:firstLineChars="200"/>
        <w:rPr>
          <w:rFonts w:hint="eastAsia" w:ascii="仿宋" w:hAnsi="仿宋" w:eastAsia="仿宋" w:cs="仿宋"/>
          <w:i w:val="0"/>
          <w:iCs w:val="0"/>
          <w:caps w:val="0"/>
          <w:color w:val="auto"/>
          <w:spacing w:val="0"/>
          <w:sz w:val="24"/>
          <w:szCs w:val="24"/>
          <w:shd w:val="clear" w:fill="FFFFFF"/>
        </w:rPr>
      </w:pPr>
      <w:r>
        <w:rPr>
          <w:rFonts w:hint="eastAsia" w:ascii="仿宋" w:hAnsi="仿宋" w:eastAsia="仿宋" w:cs="仿宋"/>
          <w:color w:val="auto"/>
          <w:sz w:val="24"/>
          <w:szCs w:val="24"/>
        </w:rPr>
        <w:t>1、交易价款：</w:t>
      </w:r>
      <w:r>
        <w:rPr>
          <w:rFonts w:hint="eastAsia" w:ascii="仿宋" w:hAnsi="仿宋" w:eastAsia="仿宋" w:cs="仿宋"/>
          <w:color w:val="auto"/>
          <w:sz w:val="24"/>
          <w:szCs w:val="24"/>
          <w:lang w:val="en-US" w:eastAsia="zh-CN"/>
        </w:rPr>
        <w:t>乙方</w:t>
      </w:r>
      <w:r>
        <w:rPr>
          <w:rFonts w:hint="eastAsia" w:ascii="仿宋" w:hAnsi="仿宋" w:eastAsia="仿宋" w:cs="仿宋"/>
          <w:i w:val="0"/>
          <w:iCs w:val="0"/>
          <w:caps w:val="0"/>
          <w:color w:val="auto"/>
          <w:spacing w:val="0"/>
          <w:sz w:val="24"/>
          <w:szCs w:val="24"/>
          <w:shd w:val="clear" w:fill="FFFFFF"/>
        </w:rPr>
        <w:t>应在转让标的竞价（报价）结束后3个工作日内，按竞价系统提示交纳成交价款及交易服务费；完成缴费后，须携带报名材料原件、本人身份证件原件（</w:t>
      </w:r>
      <w:r>
        <w:rPr>
          <w:rFonts w:hint="eastAsia" w:ascii="仿宋" w:hAnsi="仿宋" w:eastAsia="仿宋" w:cs="仿宋"/>
          <w:i w:val="0"/>
          <w:iCs w:val="0"/>
          <w:caps w:val="0"/>
          <w:color w:val="auto"/>
          <w:spacing w:val="0"/>
          <w:sz w:val="24"/>
          <w:szCs w:val="24"/>
          <w:shd w:val="clear" w:fill="FFFFFF"/>
          <w:lang w:eastAsia="zh-CN"/>
        </w:rPr>
        <w:t>乙方</w:t>
      </w:r>
      <w:r>
        <w:rPr>
          <w:rFonts w:hint="eastAsia" w:ascii="仿宋" w:hAnsi="仿宋" w:eastAsia="仿宋" w:cs="仿宋"/>
          <w:i w:val="0"/>
          <w:iCs w:val="0"/>
          <w:caps w:val="0"/>
          <w:color w:val="auto"/>
          <w:spacing w:val="0"/>
          <w:sz w:val="24"/>
          <w:szCs w:val="24"/>
          <w:shd w:val="clear" w:fill="FFFFFF"/>
        </w:rPr>
        <w:t>为法人的，还</w:t>
      </w:r>
      <w:r>
        <w:rPr>
          <w:rFonts w:hint="eastAsia" w:ascii="仿宋" w:hAnsi="仿宋" w:eastAsia="仿宋" w:cs="仿宋"/>
          <w:i w:val="0"/>
          <w:iCs w:val="0"/>
          <w:caps w:val="0"/>
          <w:color w:val="auto"/>
          <w:spacing w:val="0"/>
          <w:sz w:val="24"/>
          <w:szCs w:val="24"/>
          <w:shd w:val="clear" w:fill="FFFFFF"/>
          <w:lang w:val="en-US" w:eastAsia="zh-CN"/>
        </w:rPr>
        <w:t>须</w:t>
      </w:r>
      <w:r>
        <w:rPr>
          <w:rFonts w:hint="eastAsia" w:ascii="仿宋" w:hAnsi="仿宋" w:eastAsia="仿宋" w:cs="仿宋"/>
          <w:i w:val="0"/>
          <w:iCs w:val="0"/>
          <w:caps w:val="0"/>
          <w:color w:val="auto"/>
          <w:spacing w:val="0"/>
          <w:sz w:val="24"/>
          <w:szCs w:val="24"/>
          <w:shd w:val="clear" w:fill="FFFFFF"/>
        </w:rPr>
        <w:t>提供经办人身份证件原件）至哈交所，签署《动态报价结果通知单》。</w:t>
      </w:r>
      <w:r>
        <w:rPr>
          <w:rFonts w:hint="eastAsia" w:ascii="仿宋" w:hAnsi="仿宋" w:eastAsia="仿宋" w:cs="仿宋"/>
          <w:i w:val="0"/>
          <w:iCs w:val="0"/>
          <w:caps w:val="0"/>
          <w:color w:val="auto"/>
          <w:spacing w:val="0"/>
          <w:sz w:val="24"/>
          <w:szCs w:val="24"/>
          <w:shd w:val="clear" w:fill="FFFFFF"/>
        </w:rPr>
        <w:br w:type="textWrapping"/>
      </w:r>
      <w:r>
        <w:rPr>
          <w:rFonts w:hint="eastAsia" w:ascii="仿宋" w:hAnsi="仿宋" w:eastAsia="仿宋" w:cs="仿宋"/>
          <w:color w:val="auto"/>
          <w:sz w:val="24"/>
          <w:szCs w:val="24"/>
        </w:rPr>
        <w:t>2、</w:t>
      </w:r>
      <w:r>
        <w:rPr>
          <w:rFonts w:hint="eastAsia" w:ascii="仿宋" w:hAnsi="仿宋" w:eastAsia="仿宋" w:cs="仿宋"/>
          <w:color w:val="auto"/>
          <w:sz w:val="24"/>
          <w:szCs w:val="24"/>
          <w:lang w:val="en-US" w:eastAsia="zh-CN"/>
        </w:rPr>
        <w:t>乙方</w:t>
      </w:r>
      <w:r>
        <w:rPr>
          <w:rFonts w:hint="eastAsia" w:ascii="仿宋" w:hAnsi="仿宋" w:eastAsia="仿宋" w:cs="仿宋"/>
          <w:i w:val="0"/>
          <w:iCs w:val="0"/>
          <w:caps w:val="0"/>
          <w:color w:val="auto"/>
          <w:spacing w:val="0"/>
          <w:sz w:val="24"/>
          <w:szCs w:val="24"/>
          <w:shd w:val="clear" w:fill="FFFFFF"/>
        </w:rPr>
        <w:t>须在转让标的竞价（报价）结束后5个工作日内凭《动态报价结果通知单》与转让方签订《标的交割单》，并按约定时间对标的进行交割。标的报废完毕后，</w:t>
      </w:r>
      <w:r>
        <w:rPr>
          <w:rFonts w:hint="eastAsia" w:ascii="仿宋" w:hAnsi="仿宋" w:eastAsia="仿宋" w:cs="仿宋"/>
          <w:i w:val="0"/>
          <w:iCs w:val="0"/>
          <w:caps w:val="0"/>
          <w:color w:val="auto"/>
          <w:spacing w:val="0"/>
          <w:sz w:val="24"/>
          <w:szCs w:val="24"/>
          <w:shd w:val="clear" w:fill="FFFFFF"/>
          <w:lang w:val="en-US" w:eastAsia="zh-CN"/>
        </w:rPr>
        <w:t>乙方</w:t>
      </w:r>
      <w:r>
        <w:rPr>
          <w:rFonts w:hint="eastAsia" w:ascii="仿宋" w:hAnsi="仿宋" w:eastAsia="仿宋" w:cs="仿宋"/>
          <w:i w:val="0"/>
          <w:iCs w:val="0"/>
          <w:caps w:val="0"/>
          <w:color w:val="auto"/>
          <w:spacing w:val="0"/>
          <w:sz w:val="24"/>
          <w:szCs w:val="24"/>
          <w:shd w:val="clear" w:fill="FFFFFF"/>
        </w:rPr>
        <w:t>应当向哈交所出具报废国有资产回收证明。</w:t>
      </w:r>
    </w:p>
    <w:p w14:paraId="67817808">
      <w:pPr>
        <w:numPr>
          <w:ilvl w:val="0"/>
          <w:numId w:val="0"/>
        </w:numPr>
        <w:spacing w:line="320" w:lineRule="exact"/>
        <w:ind w:firstLine="440" w:firstLineChars="200"/>
        <w:rPr>
          <w:rFonts w:hint="eastAsia" w:ascii="仿宋" w:hAnsi="仿宋" w:eastAsia="仿宋" w:cstheme="minorBidi"/>
          <w:i w:val="0"/>
          <w:iCs w:val="0"/>
          <w:caps w:val="0"/>
          <w:color w:val="auto"/>
          <w:spacing w:val="0"/>
          <w:sz w:val="22"/>
          <w:szCs w:val="22"/>
          <w:shd w:val="clear"/>
        </w:rPr>
      </w:pPr>
      <w:r>
        <w:rPr>
          <w:rFonts w:hint="eastAsia" w:ascii="仿宋" w:hAnsi="仿宋" w:eastAsia="仿宋" w:cstheme="minorBidi"/>
          <w:color w:val="auto"/>
          <w:sz w:val="22"/>
          <w:szCs w:val="22"/>
        </w:rPr>
        <w:t>《公告》及附件关于交易价款结算与本协议不一致的，以《公告》及附件为准。</w:t>
      </w:r>
    </w:p>
    <w:p w14:paraId="0812CC10">
      <w:pPr>
        <w:spacing w:line="32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八、标的交割</w:t>
      </w:r>
    </w:p>
    <w:p w14:paraId="6C1E8BD4">
      <w:pPr>
        <w:spacing w:line="320" w:lineRule="exact"/>
        <w:ind w:firstLine="480" w:firstLineChars="200"/>
        <w:rPr>
          <w:rFonts w:hint="eastAsia" w:ascii="仿宋" w:hAnsi="仿宋" w:eastAsia="仿宋"/>
          <w:color w:val="auto"/>
          <w:sz w:val="24"/>
          <w:szCs w:val="24"/>
        </w:rPr>
      </w:pPr>
      <w:r>
        <w:rPr>
          <w:rFonts w:hint="eastAsia" w:ascii="仿宋" w:hAnsi="仿宋" w:eastAsia="仿宋" w:cs="仿宋"/>
          <w:color w:val="auto"/>
          <w:sz w:val="24"/>
          <w:szCs w:val="24"/>
        </w:rPr>
        <w:t>标的的移交由转让方负责，移交过程中所</w:t>
      </w:r>
      <w:r>
        <w:rPr>
          <w:rFonts w:hint="eastAsia" w:ascii="仿宋" w:hAnsi="仿宋" w:eastAsia="仿宋"/>
          <w:color w:val="auto"/>
          <w:sz w:val="24"/>
          <w:szCs w:val="24"/>
        </w:rPr>
        <w:t>遇到的问题由转让方和</w:t>
      </w:r>
      <w:r>
        <w:rPr>
          <w:rFonts w:hint="eastAsia" w:ascii="仿宋" w:hAnsi="仿宋" w:eastAsia="仿宋"/>
          <w:color w:val="auto"/>
          <w:sz w:val="24"/>
          <w:szCs w:val="24"/>
          <w:lang w:eastAsia="zh-CN"/>
        </w:rPr>
        <w:t>乙方</w:t>
      </w:r>
      <w:r>
        <w:rPr>
          <w:rFonts w:hint="eastAsia" w:ascii="仿宋" w:hAnsi="仿宋" w:eastAsia="仿宋"/>
          <w:color w:val="auto"/>
          <w:sz w:val="24"/>
          <w:szCs w:val="24"/>
        </w:rPr>
        <w:t>协商解决。与甲方无关。</w:t>
      </w:r>
    </w:p>
    <w:p w14:paraId="3FA9A875">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九</w:t>
      </w:r>
      <w:r>
        <w:rPr>
          <w:rFonts w:ascii="仿宋" w:hAnsi="仿宋" w:eastAsia="仿宋"/>
          <w:color w:val="auto"/>
          <w:sz w:val="24"/>
          <w:szCs w:val="24"/>
        </w:rPr>
        <w:t>、特别约定事项</w:t>
      </w:r>
    </w:p>
    <w:p w14:paraId="0672EB1B">
      <w:pPr>
        <w:spacing w:line="320" w:lineRule="exact"/>
        <w:ind w:firstLine="480" w:firstLineChars="200"/>
        <w:rPr>
          <w:rFonts w:ascii="仿宋" w:hAnsi="仿宋" w:eastAsia="仿宋"/>
          <w:color w:val="auto"/>
          <w:sz w:val="24"/>
          <w:szCs w:val="24"/>
        </w:rPr>
      </w:pPr>
      <w:r>
        <w:rPr>
          <w:rFonts w:ascii="仿宋" w:hAnsi="仿宋" w:eastAsia="仿宋"/>
          <w:color w:val="auto"/>
          <w:sz w:val="24"/>
          <w:szCs w:val="24"/>
        </w:rPr>
        <w:t>1</w:t>
      </w:r>
      <w:r>
        <w:rPr>
          <w:rFonts w:hint="eastAsia" w:ascii="仿宋" w:hAnsi="仿宋" w:eastAsia="仿宋"/>
          <w:color w:val="auto"/>
          <w:sz w:val="24"/>
          <w:szCs w:val="24"/>
        </w:rPr>
        <w:t>、</w:t>
      </w:r>
      <w:r>
        <w:rPr>
          <w:rFonts w:ascii="仿宋" w:hAnsi="仿宋" w:eastAsia="仿宋"/>
          <w:color w:val="auto"/>
          <w:sz w:val="24"/>
          <w:szCs w:val="24"/>
        </w:rPr>
        <w:t>乙方不</w:t>
      </w:r>
      <w:r>
        <w:rPr>
          <w:rFonts w:hint="eastAsia" w:ascii="仿宋" w:hAnsi="仿宋" w:eastAsia="仿宋"/>
          <w:color w:val="auto"/>
          <w:sz w:val="24"/>
          <w:szCs w:val="24"/>
        </w:rPr>
        <w:t>得</w:t>
      </w:r>
      <w:r>
        <w:rPr>
          <w:rFonts w:ascii="仿宋" w:hAnsi="仿宋" w:eastAsia="仿宋"/>
          <w:color w:val="auto"/>
          <w:sz w:val="24"/>
          <w:szCs w:val="24"/>
        </w:rPr>
        <w:t>恶意串通，不</w:t>
      </w:r>
      <w:r>
        <w:rPr>
          <w:rFonts w:hint="eastAsia" w:ascii="仿宋" w:hAnsi="仿宋" w:eastAsia="仿宋"/>
          <w:color w:val="auto"/>
          <w:sz w:val="24"/>
          <w:szCs w:val="24"/>
        </w:rPr>
        <w:t>得</w:t>
      </w:r>
      <w:r>
        <w:rPr>
          <w:rFonts w:ascii="仿宋" w:hAnsi="仿宋" w:eastAsia="仿宋"/>
          <w:color w:val="auto"/>
          <w:sz w:val="24"/>
          <w:szCs w:val="24"/>
        </w:rPr>
        <w:t>妨碍其他</w:t>
      </w:r>
      <w:r>
        <w:rPr>
          <w:rFonts w:hint="eastAsia" w:ascii="仿宋" w:hAnsi="仿宋" w:eastAsia="仿宋"/>
          <w:color w:val="auto"/>
          <w:sz w:val="24"/>
          <w:szCs w:val="24"/>
        </w:rPr>
        <w:t>意向</w:t>
      </w:r>
      <w:r>
        <w:rPr>
          <w:rFonts w:hint="eastAsia" w:ascii="仿宋" w:hAnsi="仿宋" w:eastAsia="仿宋"/>
          <w:color w:val="auto"/>
          <w:sz w:val="24"/>
          <w:szCs w:val="24"/>
          <w:lang w:val="en-US" w:eastAsia="zh-CN"/>
        </w:rPr>
        <w:t>受让方</w:t>
      </w:r>
      <w:r>
        <w:rPr>
          <w:rFonts w:hint="eastAsia" w:ascii="仿宋" w:hAnsi="仿宋" w:eastAsia="仿宋"/>
          <w:color w:val="auto"/>
          <w:sz w:val="24"/>
          <w:szCs w:val="24"/>
        </w:rPr>
        <w:t>参与</w:t>
      </w:r>
      <w:r>
        <w:rPr>
          <w:rFonts w:hint="eastAsia" w:ascii="仿宋" w:hAnsi="仿宋" w:eastAsia="仿宋"/>
          <w:color w:val="auto"/>
          <w:sz w:val="24"/>
          <w:szCs w:val="24"/>
          <w:lang w:val="en-US" w:eastAsia="zh-CN"/>
        </w:rPr>
        <w:t>竞价</w:t>
      </w:r>
      <w:r>
        <w:rPr>
          <w:rFonts w:ascii="仿宋" w:hAnsi="仿宋" w:eastAsia="仿宋"/>
          <w:color w:val="auto"/>
          <w:sz w:val="24"/>
          <w:szCs w:val="24"/>
        </w:rPr>
        <w:t>。</w:t>
      </w:r>
    </w:p>
    <w:p w14:paraId="67641101">
      <w:pPr>
        <w:spacing w:line="320" w:lineRule="exact"/>
        <w:ind w:firstLine="480" w:firstLineChars="200"/>
        <w:rPr>
          <w:rFonts w:ascii="仿宋" w:hAnsi="仿宋" w:eastAsia="仿宋"/>
          <w:color w:val="auto"/>
          <w:sz w:val="24"/>
          <w:szCs w:val="24"/>
        </w:rPr>
      </w:pPr>
      <w:r>
        <w:rPr>
          <w:rFonts w:ascii="仿宋" w:hAnsi="仿宋" w:eastAsia="仿宋"/>
          <w:color w:val="auto"/>
          <w:sz w:val="24"/>
          <w:szCs w:val="24"/>
        </w:rPr>
        <w:t>2</w:t>
      </w:r>
      <w:r>
        <w:rPr>
          <w:rFonts w:hint="eastAsia" w:ascii="仿宋" w:hAnsi="仿宋" w:eastAsia="仿宋"/>
          <w:color w:val="auto"/>
          <w:sz w:val="24"/>
          <w:szCs w:val="24"/>
        </w:rPr>
        <w:t>、在竞价过程中出现以下情况，甲方不承担任何责任。</w:t>
      </w:r>
    </w:p>
    <w:p w14:paraId="1FCD19DA">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（1）乙方未在</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期限内</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的；</w:t>
      </w:r>
    </w:p>
    <w:p w14:paraId="20520A59">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（2）乙方因自身原因导致其注册</w:t>
      </w:r>
      <w:r>
        <w:rPr>
          <w:rFonts w:hint="eastAsia" w:ascii="仿宋" w:hAnsi="仿宋" w:eastAsia="仿宋"/>
          <w:color w:val="auto"/>
          <w:sz w:val="24"/>
          <w:szCs w:val="24"/>
          <w:lang w:val="en-US" w:eastAsia="zh-CN"/>
        </w:rPr>
        <w:t>账</w:t>
      </w:r>
      <w:r>
        <w:rPr>
          <w:rFonts w:hint="eastAsia" w:ascii="仿宋" w:hAnsi="仿宋" w:eastAsia="仿宋"/>
          <w:color w:val="auto"/>
          <w:sz w:val="24"/>
          <w:szCs w:val="24"/>
        </w:rPr>
        <w:t>户信息泄露而造成的一切后果；</w:t>
      </w:r>
    </w:p>
    <w:p w14:paraId="1FED3BCB">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（3）乙方因遗忘密码、自身终端设备出现故障或网络异常而不能正常</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的；</w:t>
      </w:r>
    </w:p>
    <w:p w14:paraId="48DA4D24">
      <w:pPr>
        <w:widowControl/>
        <w:spacing w:line="40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（4）因不可抗力、软硬件故障、非法入侵、恶意攻击导致系统故障无法继续</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的，或者转让方、</w:t>
      </w:r>
      <w:r>
        <w:rPr>
          <w:rFonts w:hint="eastAsia" w:ascii="仿宋" w:hAnsi="仿宋" w:eastAsia="仿宋"/>
          <w:color w:val="auto"/>
          <w:sz w:val="24"/>
          <w:szCs w:val="24"/>
          <w:lang w:val="en-US" w:eastAsia="zh-CN"/>
        </w:rPr>
        <w:t>市场监督管理部门</w:t>
      </w:r>
      <w:r>
        <w:rPr>
          <w:rFonts w:hint="eastAsia" w:ascii="仿宋" w:hAnsi="仿宋" w:eastAsia="仿宋"/>
          <w:color w:val="auto"/>
          <w:sz w:val="24"/>
          <w:szCs w:val="24"/>
        </w:rPr>
        <w:t>、司法等监管部门紧急要求网络竞价中止或终止等原因导致</w:t>
      </w:r>
      <w:r>
        <w:rPr>
          <w:rFonts w:hint="eastAsia" w:ascii="仿宋" w:hAnsi="仿宋" w:eastAsia="仿宋"/>
          <w:color w:val="auto"/>
          <w:sz w:val="24"/>
          <w:szCs w:val="24"/>
          <w:lang w:val="en-US" w:eastAsia="zh-CN"/>
        </w:rPr>
        <w:t>竞价</w:t>
      </w:r>
      <w:r>
        <w:rPr>
          <w:rFonts w:hint="eastAsia" w:ascii="仿宋" w:hAnsi="仿宋" w:eastAsia="仿宋"/>
          <w:color w:val="auto"/>
          <w:sz w:val="24"/>
          <w:szCs w:val="24"/>
        </w:rPr>
        <w:t>中断的。</w:t>
      </w:r>
      <w:r>
        <w:rPr>
          <w:rFonts w:hint="eastAsia" w:ascii="仿宋" w:hAnsi="仿宋" w:eastAsia="仿宋"/>
          <w:color w:val="auto"/>
          <w:sz w:val="24"/>
          <w:szCs w:val="24"/>
          <w:lang w:val="en-US" w:eastAsia="zh-CN"/>
        </w:rPr>
        <w:t>甲方</w:t>
      </w:r>
      <w:r>
        <w:rPr>
          <w:rFonts w:ascii="仿宋" w:hAnsi="仿宋" w:eastAsia="仿宋"/>
          <w:color w:val="auto"/>
          <w:sz w:val="24"/>
          <w:szCs w:val="24"/>
        </w:rPr>
        <w:t>将视情况组织继续</w:t>
      </w:r>
      <w:r>
        <w:rPr>
          <w:rFonts w:hint="eastAsia" w:ascii="仿宋" w:hAnsi="仿宋" w:eastAsia="仿宋"/>
          <w:color w:val="auto"/>
          <w:sz w:val="24"/>
          <w:szCs w:val="24"/>
          <w:lang w:val="en-US" w:eastAsia="zh-CN"/>
        </w:rPr>
        <w:t>竞价</w:t>
      </w:r>
      <w:r>
        <w:rPr>
          <w:rFonts w:ascii="仿宋" w:hAnsi="仿宋" w:eastAsia="仿宋"/>
          <w:color w:val="auto"/>
          <w:sz w:val="24"/>
          <w:szCs w:val="24"/>
        </w:rPr>
        <w:t>或重新</w:t>
      </w:r>
      <w:r>
        <w:rPr>
          <w:rFonts w:hint="eastAsia" w:ascii="仿宋" w:hAnsi="仿宋" w:eastAsia="仿宋"/>
          <w:color w:val="auto"/>
          <w:sz w:val="24"/>
          <w:szCs w:val="24"/>
          <w:lang w:val="en-US" w:eastAsia="zh-CN"/>
        </w:rPr>
        <w:t>竞价</w:t>
      </w:r>
      <w:r>
        <w:rPr>
          <w:rFonts w:ascii="仿宋" w:hAnsi="仿宋" w:eastAsia="仿宋"/>
          <w:color w:val="auto"/>
          <w:sz w:val="24"/>
          <w:szCs w:val="24"/>
        </w:rPr>
        <w:t>，并通过网站进行信息公示</w:t>
      </w:r>
      <w:r>
        <w:rPr>
          <w:rFonts w:hint="eastAsia" w:ascii="仿宋" w:hAnsi="仿宋" w:eastAsia="仿宋"/>
          <w:color w:val="auto"/>
          <w:sz w:val="24"/>
          <w:szCs w:val="24"/>
        </w:rPr>
        <w:t>。</w:t>
      </w:r>
    </w:p>
    <w:p w14:paraId="1E364CC1">
      <w:pPr>
        <w:widowControl/>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lang w:val="en-US" w:eastAsia="zh-CN"/>
        </w:rPr>
        <w:t>3、</w:t>
      </w:r>
      <w:r>
        <w:rPr>
          <w:rFonts w:hint="eastAsia" w:ascii="仿宋" w:hAnsi="仿宋" w:eastAsia="仿宋"/>
          <w:color w:val="auto"/>
          <w:sz w:val="24"/>
          <w:szCs w:val="24"/>
        </w:rPr>
        <w:t>如甲方接到转让方终止交易（含中止交易）的通知，交易终止或中止，此等情形不属于甲方违约，甲方</w:t>
      </w:r>
      <w:r>
        <w:rPr>
          <w:rFonts w:ascii="仿宋" w:hAnsi="仿宋" w:eastAsia="仿宋"/>
          <w:color w:val="auto"/>
          <w:sz w:val="24"/>
          <w:szCs w:val="24"/>
        </w:rPr>
        <w:t>应当向乙方说明原因,乙方应当积极配合。</w:t>
      </w:r>
    </w:p>
    <w:p w14:paraId="12998A17">
      <w:pPr>
        <w:spacing w:line="320" w:lineRule="exact"/>
        <w:ind w:firstLine="480" w:firstLineChars="200"/>
        <w:rPr>
          <w:rFonts w:hint="eastAsia" w:ascii="仿宋" w:hAnsi="仿宋" w:eastAsia="仿宋"/>
          <w:color w:val="auto"/>
          <w:sz w:val="24"/>
          <w:szCs w:val="24"/>
          <w:lang w:val="en-US" w:eastAsia="zh-CN"/>
        </w:rPr>
      </w:pPr>
      <w:r>
        <w:rPr>
          <w:rFonts w:hint="eastAsia" w:ascii="仿宋" w:hAnsi="仿宋" w:eastAsia="仿宋"/>
          <w:color w:val="auto"/>
          <w:sz w:val="24"/>
          <w:szCs w:val="24"/>
          <w:highlight w:val="none"/>
          <w:lang w:val="en-US" w:eastAsia="zh-CN"/>
        </w:rPr>
        <w:t>4、乙方应当保证，如标的涉及电器、电子设备等内容，乙方在成功受让该标的后将委托具有相关资质的机构遵照国家相关法律法规依法进行处置。</w:t>
      </w:r>
    </w:p>
    <w:p w14:paraId="560A4AF4">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十</w:t>
      </w:r>
      <w:r>
        <w:rPr>
          <w:rFonts w:ascii="仿宋" w:hAnsi="仿宋" w:eastAsia="仿宋"/>
          <w:color w:val="auto"/>
          <w:sz w:val="24"/>
          <w:szCs w:val="24"/>
        </w:rPr>
        <w:t>、</w:t>
      </w:r>
      <w:r>
        <w:rPr>
          <w:rFonts w:hint="eastAsia" w:ascii="仿宋" w:hAnsi="仿宋" w:eastAsia="仿宋"/>
          <w:color w:val="auto"/>
          <w:sz w:val="24"/>
          <w:szCs w:val="24"/>
        </w:rPr>
        <w:t>违约责任</w:t>
      </w:r>
    </w:p>
    <w:p w14:paraId="0E4C03E8">
      <w:pPr>
        <w:pStyle w:val="23"/>
        <w:spacing w:before="75" w:line="264" w:lineRule="auto"/>
        <w:ind w:left="386" w:leftChars="184" w:right="215" w:firstLine="230" w:firstLineChars="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乙方出现以下任何一种情况则视为违约，乙方</w:t>
      </w:r>
      <w:r>
        <w:rPr>
          <w:rFonts w:hint="eastAsia" w:ascii="仿宋" w:hAnsi="仿宋" w:eastAsia="仿宋"/>
          <w:color w:val="auto"/>
          <w:sz w:val="24"/>
          <w:szCs w:val="24"/>
          <w:highlight w:val="none"/>
          <w:lang w:val="en-US" w:eastAsia="zh-CN"/>
        </w:rPr>
        <w:t>缴纳</w:t>
      </w:r>
      <w:r>
        <w:rPr>
          <w:rFonts w:hint="eastAsia" w:ascii="仿宋" w:hAnsi="仿宋" w:eastAsia="仿宋"/>
          <w:color w:val="auto"/>
          <w:sz w:val="24"/>
          <w:szCs w:val="24"/>
          <w:highlight w:val="none"/>
        </w:rPr>
        <w:t>的保证金将被全额扣除作为违约金</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该违约金优先用于弥补交易服务费</w:t>
      </w:r>
      <w:r>
        <w:rPr>
          <w:rFonts w:hint="eastAsia" w:ascii="仿宋" w:hAnsi="仿宋" w:eastAsia="仿宋"/>
          <w:color w:val="auto"/>
          <w:sz w:val="24"/>
          <w:szCs w:val="24"/>
          <w:highlight w:val="none"/>
        </w:rPr>
        <w:t>。</w:t>
      </w:r>
      <w:r>
        <w:rPr>
          <w:rFonts w:hint="eastAsia" w:ascii="仿宋" w:hAnsi="仿宋" w:eastAsia="仿宋" w:cs="宋体"/>
          <w:color w:val="auto"/>
          <w:spacing w:val="0"/>
          <w:sz w:val="24"/>
          <w:szCs w:val="24"/>
          <w:highlight w:val="none"/>
        </w:rPr>
        <w:t>若违约金金额不足以弥补哈交所、转让方因此遭受的损失，利益受损方有权就不足部分向</w:t>
      </w:r>
      <w:r>
        <w:rPr>
          <w:rFonts w:hint="eastAsia" w:ascii="仿宋" w:hAnsi="仿宋" w:eastAsia="仿宋" w:cs="宋体"/>
          <w:color w:val="auto"/>
          <w:spacing w:val="0"/>
          <w:sz w:val="24"/>
          <w:szCs w:val="24"/>
          <w:highlight w:val="none"/>
          <w:lang w:val="en-US" w:eastAsia="zh-CN"/>
        </w:rPr>
        <w:t>乙方</w:t>
      </w:r>
      <w:r>
        <w:rPr>
          <w:rFonts w:hint="eastAsia" w:ascii="仿宋" w:hAnsi="仿宋" w:eastAsia="仿宋" w:cs="宋体"/>
          <w:color w:val="auto"/>
          <w:spacing w:val="0"/>
          <w:sz w:val="24"/>
          <w:szCs w:val="24"/>
          <w:highlight w:val="none"/>
        </w:rPr>
        <w:t>进行追偿。</w:t>
      </w:r>
    </w:p>
    <w:p w14:paraId="4A371E1D">
      <w:pPr>
        <w:spacing w:line="320" w:lineRule="exact"/>
        <w:ind w:firstLine="480" w:firstLineChars="200"/>
        <w:rPr>
          <w:rFonts w:ascii="仿宋" w:hAnsi="仿宋" w:eastAsia="仿宋"/>
          <w:color w:val="auto"/>
          <w:sz w:val="24"/>
          <w:szCs w:val="24"/>
        </w:rPr>
      </w:pPr>
      <w:r>
        <w:rPr>
          <w:rFonts w:ascii="仿宋" w:hAnsi="仿宋" w:eastAsia="仿宋"/>
          <w:color w:val="auto"/>
          <w:sz w:val="24"/>
          <w:szCs w:val="24"/>
        </w:rPr>
        <w:t>（1）</w:t>
      </w:r>
      <w:r>
        <w:rPr>
          <w:rFonts w:hint="eastAsia" w:ascii="仿宋" w:hAnsi="仿宋" w:eastAsia="仿宋"/>
          <w:color w:val="auto"/>
          <w:sz w:val="24"/>
          <w:szCs w:val="24"/>
        </w:rPr>
        <w:t>在竞价阶段转让底价为起始价，各意向</w:t>
      </w:r>
      <w:r>
        <w:rPr>
          <w:rFonts w:hint="eastAsia" w:ascii="仿宋" w:hAnsi="仿宋" w:eastAsia="仿宋"/>
          <w:color w:val="auto"/>
          <w:sz w:val="24"/>
          <w:szCs w:val="24"/>
          <w:lang w:val="en-US" w:eastAsia="zh-CN"/>
        </w:rPr>
        <w:t>受让方</w:t>
      </w:r>
      <w:r>
        <w:rPr>
          <w:rFonts w:hint="eastAsia" w:ascii="仿宋" w:hAnsi="仿宋" w:eastAsia="仿宋"/>
          <w:color w:val="auto"/>
          <w:sz w:val="24"/>
          <w:szCs w:val="24"/>
        </w:rPr>
        <w:t>均不应价的（含唯一</w:t>
      </w:r>
      <w:r>
        <w:rPr>
          <w:rFonts w:hint="eastAsia" w:ascii="仿宋" w:hAnsi="仿宋" w:eastAsia="仿宋"/>
          <w:color w:val="auto"/>
          <w:sz w:val="24"/>
          <w:szCs w:val="24"/>
          <w:lang w:val="en-US" w:eastAsia="zh-CN"/>
        </w:rPr>
        <w:t>意向受让方</w:t>
      </w:r>
      <w:r>
        <w:rPr>
          <w:rFonts w:hint="eastAsia" w:ascii="仿宋" w:hAnsi="仿宋" w:eastAsia="仿宋"/>
          <w:color w:val="auto"/>
          <w:sz w:val="24"/>
          <w:szCs w:val="24"/>
        </w:rPr>
        <w:t>）</w:t>
      </w:r>
    </w:p>
    <w:p w14:paraId="30165219">
      <w:pPr>
        <w:spacing w:line="320" w:lineRule="exact"/>
        <w:ind w:firstLine="480" w:firstLineChars="200"/>
        <w:rPr>
          <w:rFonts w:ascii="仿宋" w:hAnsi="仿宋" w:eastAsia="仿宋"/>
          <w:color w:val="auto"/>
          <w:sz w:val="24"/>
          <w:szCs w:val="24"/>
        </w:rPr>
      </w:pPr>
      <w:r>
        <w:rPr>
          <w:rFonts w:ascii="仿宋" w:hAnsi="仿宋" w:eastAsia="仿宋"/>
          <w:color w:val="auto"/>
          <w:sz w:val="24"/>
          <w:szCs w:val="24"/>
        </w:rPr>
        <w:t>（2）</w:t>
      </w:r>
      <w:r>
        <w:rPr>
          <w:rFonts w:hint="eastAsia" w:ascii="仿宋" w:hAnsi="仿宋" w:eastAsia="仿宋"/>
          <w:color w:val="auto"/>
          <w:sz w:val="24"/>
          <w:szCs w:val="24"/>
          <w:lang w:val="en-US" w:eastAsia="zh-CN"/>
        </w:rPr>
        <w:t>竞价</w:t>
      </w:r>
      <w:r>
        <w:rPr>
          <w:rFonts w:ascii="仿宋" w:hAnsi="仿宋" w:eastAsia="仿宋"/>
          <w:color w:val="auto"/>
          <w:sz w:val="24"/>
          <w:szCs w:val="24"/>
        </w:rPr>
        <w:t>后单方违约的</w:t>
      </w:r>
      <w:r>
        <w:rPr>
          <w:rFonts w:hint="eastAsia" w:ascii="仿宋" w:hAnsi="仿宋" w:eastAsia="仿宋"/>
          <w:color w:val="auto"/>
          <w:sz w:val="24"/>
          <w:szCs w:val="24"/>
        </w:rPr>
        <w:t>（包括但不限于单方撤回受让申请的、</w:t>
      </w:r>
      <w:r>
        <w:rPr>
          <w:rFonts w:hint="eastAsia" w:ascii="仿宋" w:hAnsi="仿宋" w:eastAsia="仿宋" w:cstheme="minorBidi"/>
          <w:color w:val="auto"/>
          <w:kern w:val="2"/>
          <w:sz w:val="24"/>
          <w:szCs w:val="24"/>
          <w:lang w:val="en-US" w:eastAsia="zh-CN"/>
        </w:rPr>
        <w:t>未按约定时限及要求</w:t>
      </w:r>
      <w:r>
        <w:rPr>
          <w:rFonts w:hint="eastAsia" w:ascii="仿宋" w:hAnsi="仿宋" w:eastAsia="仿宋"/>
          <w:color w:val="auto"/>
          <w:sz w:val="24"/>
          <w:szCs w:val="24"/>
        </w:rPr>
        <w:t>签署《动态报价结果通知单》等行为）</w:t>
      </w:r>
      <w:r>
        <w:rPr>
          <w:rFonts w:ascii="仿宋" w:hAnsi="仿宋" w:eastAsia="仿宋"/>
          <w:color w:val="auto"/>
          <w:sz w:val="24"/>
          <w:szCs w:val="24"/>
        </w:rPr>
        <w:t>；</w:t>
      </w:r>
    </w:p>
    <w:p w14:paraId="067459E2">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（3）未按约定时限与转让方签署</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标的交割单</w:t>
      </w:r>
      <w:r>
        <w:rPr>
          <w:rFonts w:hint="eastAsia" w:ascii="仿宋" w:hAnsi="仿宋" w:eastAsia="仿宋"/>
          <w:b/>
          <w:bCs/>
          <w:color w:val="auto"/>
          <w:sz w:val="24"/>
          <w:szCs w:val="24"/>
        </w:rPr>
        <w:t>》</w:t>
      </w:r>
      <w:r>
        <w:rPr>
          <w:rFonts w:hint="eastAsia" w:ascii="仿宋" w:hAnsi="仿宋" w:eastAsia="仿宋"/>
          <w:color w:val="auto"/>
          <w:sz w:val="24"/>
          <w:szCs w:val="24"/>
        </w:rPr>
        <w:t>或未按约定履行支付交易价款的。</w:t>
      </w:r>
    </w:p>
    <w:p w14:paraId="570AC5DF">
      <w:pPr>
        <w:spacing w:line="320" w:lineRule="exact"/>
        <w:ind w:firstLine="480" w:firstLineChars="200"/>
        <w:rPr>
          <w:rFonts w:ascii="仿宋" w:hAnsi="仿宋" w:eastAsia="仿宋"/>
          <w:color w:val="auto"/>
          <w:sz w:val="24"/>
          <w:szCs w:val="24"/>
        </w:rPr>
      </w:pPr>
      <w:r>
        <w:rPr>
          <w:rFonts w:ascii="仿宋" w:hAnsi="仿宋" w:eastAsia="仿宋"/>
          <w:color w:val="auto"/>
          <w:sz w:val="24"/>
          <w:szCs w:val="24"/>
        </w:rPr>
        <w:t>（</w:t>
      </w:r>
      <w:r>
        <w:rPr>
          <w:rFonts w:hint="eastAsia" w:ascii="仿宋" w:hAnsi="仿宋" w:eastAsia="仿宋"/>
          <w:color w:val="auto"/>
          <w:sz w:val="24"/>
          <w:szCs w:val="24"/>
        </w:rPr>
        <w:t>4</w:t>
      </w:r>
      <w:r>
        <w:rPr>
          <w:rFonts w:ascii="仿宋" w:hAnsi="仿宋" w:eastAsia="仿宋"/>
          <w:color w:val="auto"/>
          <w:sz w:val="24"/>
          <w:szCs w:val="24"/>
        </w:rPr>
        <w:t>）其他违反公告</w:t>
      </w:r>
      <w:r>
        <w:rPr>
          <w:rFonts w:hint="eastAsia" w:ascii="仿宋" w:hAnsi="仿宋" w:eastAsia="仿宋"/>
          <w:color w:val="auto"/>
          <w:sz w:val="24"/>
          <w:szCs w:val="24"/>
          <w:lang w:val="en-US" w:eastAsia="zh-CN"/>
        </w:rPr>
        <w:t>及附件、交易相关文件、本协议</w:t>
      </w:r>
      <w:r>
        <w:rPr>
          <w:rFonts w:ascii="仿宋" w:hAnsi="仿宋" w:eastAsia="仿宋"/>
          <w:color w:val="auto"/>
          <w:sz w:val="24"/>
          <w:szCs w:val="24"/>
        </w:rPr>
        <w:t>内容或承诺事项情形的。</w:t>
      </w:r>
    </w:p>
    <w:p w14:paraId="5726522C">
      <w:pPr>
        <w:spacing w:line="320" w:lineRule="exact"/>
        <w:ind w:firstLine="480" w:firstLineChars="200"/>
        <w:rPr>
          <w:rFonts w:ascii="仿宋" w:hAnsi="仿宋" w:eastAsia="仿宋"/>
          <w:color w:val="auto"/>
          <w:sz w:val="24"/>
          <w:szCs w:val="24"/>
        </w:rPr>
      </w:pPr>
      <w:bookmarkStart w:id="1" w:name="_Hlk63270687"/>
      <w:r>
        <w:rPr>
          <w:rFonts w:hint="eastAsia" w:ascii="仿宋" w:hAnsi="仿宋" w:eastAsia="仿宋"/>
          <w:color w:val="auto"/>
          <w:sz w:val="24"/>
          <w:szCs w:val="24"/>
        </w:rPr>
        <w:t>十一</w:t>
      </w:r>
      <w:r>
        <w:rPr>
          <w:rFonts w:ascii="仿宋" w:hAnsi="仿宋" w:eastAsia="仿宋"/>
          <w:color w:val="auto"/>
          <w:sz w:val="24"/>
          <w:szCs w:val="24"/>
        </w:rPr>
        <w:t>、</w:t>
      </w:r>
      <w:r>
        <w:rPr>
          <w:rFonts w:hint="eastAsia" w:ascii="仿宋" w:hAnsi="仿宋" w:eastAsia="仿宋"/>
          <w:color w:val="auto"/>
          <w:sz w:val="24"/>
          <w:szCs w:val="24"/>
        </w:rPr>
        <w:t>免责声明</w:t>
      </w:r>
    </w:p>
    <w:bookmarkEnd w:id="1"/>
    <w:p w14:paraId="2A8C6D06">
      <w:pPr>
        <w:spacing w:line="320" w:lineRule="exact"/>
        <w:ind w:firstLine="480" w:firstLineChars="200"/>
        <w:rPr>
          <w:rFonts w:hint="default" w:ascii="仿宋" w:hAnsi="仿宋" w:eastAsia="仿宋"/>
          <w:color w:val="auto"/>
          <w:sz w:val="24"/>
          <w:szCs w:val="24"/>
          <w:lang w:val="en-US" w:eastAsia="zh-CN"/>
        </w:rPr>
      </w:pPr>
      <w:r>
        <w:rPr>
          <w:rFonts w:hint="eastAsia" w:ascii="仿宋" w:hAnsi="仿宋" w:eastAsia="仿宋"/>
          <w:color w:val="auto"/>
          <w:sz w:val="24"/>
          <w:szCs w:val="24"/>
        </w:rPr>
        <w:t>甲方将《公告》及附件中由转让方提供的相关信息内容进行了如实的披露，并不表明能够对标的的所有瑕疵，特别是隐蔽的瑕疵进行了全部揭示。甲方工作人员对标的所作的介绍说明是根据转让方（标的物所有权人或管理者）提供的材料进行的描述，仅供参考，不构成对标的品质状况及可能存在的瑕疵的任何保证。甲方在此郑重声明：不对标的的瑕疵及转让方的承诺承担任何责任，不对标的的数量、品质承担担保责任。</w:t>
      </w:r>
      <w:r>
        <w:rPr>
          <w:rFonts w:hint="eastAsia" w:ascii="仿宋" w:hAnsi="仿宋" w:eastAsia="仿宋"/>
          <w:color w:val="auto"/>
          <w:sz w:val="24"/>
          <w:szCs w:val="24"/>
          <w:lang w:val="en-US" w:eastAsia="zh-CN"/>
        </w:rPr>
        <w:t>成交后，乙方不得要求甲方因此退还交易服务费或免除乙方支付交易服务费的义务。</w:t>
      </w:r>
    </w:p>
    <w:p w14:paraId="1DAADD9E">
      <w:pPr>
        <w:spacing w:line="320" w:lineRule="exact"/>
        <w:ind w:firstLine="480" w:firstLineChars="200"/>
        <w:rPr>
          <w:rFonts w:hint="default" w:ascii="仿宋" w:hAnsi="仿宋" w:eastAsia="仿宋"/>
          <w:color w:val="auto"/>
          <w:sz w:val="24"/>
          <w:szCs w:val="24"/>
          <w:lang w:val="en-US" w:eastAsia="zh-CN"/>
        </w:rPr>
      </w:pPr>
      <w:r>
        <w:rPr>
          <w:rFonts w:hint="eastAsia" w:ascii="仿宋" w:hAnsi="仿宋" w:eastAsia="仿宋"/>
          <w:color w:val="auto"/>
          <w:sz w:val="24"/>
          <w:szCs w:val="24"/>
          <w:lang w:val="en-US" w:eastAsia="zh-CN"/>
        </w:rPr>
        <w:t>乙方对于上述声明内容完全的了解并认可。</w:t>
      </w:r>
    </w:p>
    <w:p w14:paraId="7DB33725">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十二、</w:t>
      </w:r>
      <w:r>
        <w:rPr>
          <w:rFonts w:ascii="仿宋" w:hAnsi="仿宋" w:eastAsia="仿宋"/>
          <w:color w:val="auto"/>
          <w:sz w:val="24"/>
          <w:szCs w:val="24"/>
        </w:rPr>
        <w:t>解决争议的办法</w:t>
      </w:r>
    </w:p>
    <w:p w14:paraId="285D7C27">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甲乙双方在</w:t>
      </w:r>
      <w:r>
        <w:rPr>
          <w:rFonts w:ascii="仿宋" w:hAnsi="仿宋" w:eastAsia="仿宋"/>
          <w:color w:val="auto"/>
          <w:sz w:val="24"/>
          <w:szCs w:val="24"/>
        </w:rPr>
        <w:t>履行协议或</w:t>
      </w:r>
      <w:r>
        <w:rPr>
          <w:rFonts w:hint="eastAsia" w:ascii="仿宋" w:hAnsi="仿宋" w:eastAsia="仿宋"/>
          <w:color w:val="auto"/>
          <w:sz w:val="24"/>
          <w:szCs w:val="24"/>
          <w:lang w:val="en-US" w:eastAsia="zh-CN"/>
        </w:rPr>
        <w:t>竞价</w:t>
      </w:r>
      <w:r>
        <w:rPr>
          <w:rFonts w:ascii="仿宋" w:hAnsi="仿宋" w:eastAsia="仿宋"/>
          <w:color w:val="auto"/>
          <w:sz w:val="24"/>
          <w:szCs w:val="24"/>
        </w:rPr>
        <w:t>中发生争议</w:t>
      </w:r>
      <w:r>
        <w:rPr>
          <w:rFonts w:hint="eastAsia" w:ascii="仿宋" w:hAnsi="仿宋" w:eastAsia="仿宋"/>
          <w:color w:val="auto"/>
          <w:sz w:val="24"/>
          <w:szCs w:val="24"/>
        </w:rPr>
        <w:t>时</w:t>
      </w:r>
      <w:r>
        <w:rPr>
          <w:rFonts w:ascii="仿宋" w:hAnsi="仿宋" w:eastAsia="仿宋"/>
          <w:color w:val="auto"/>
          <w:sz w:val="24"/>
          <w:szCs w:val="24"/>
        </w:rPr>
        <w:t>双方协商解决，协商不成的向</w:t>
      </w:r>
      <w:r>
        <w:rPr>
          <w:rFonts w:hint="eastAsia" w:ascii="仿宋" w:hAnsi="仿宋" w:eastAsia="仿宋"/>
          <w:color w:val="auto"/>
          <w:sz w:val="24"/>
          <w:szCs w:val="24"/>
        </w:rPr>
        <w:t>哈尔滨仲裁委员会申请仲裁。</w:t>
      </w:r>
    </w:p>
    <w:p w14:paraId="4592C73D">
      <w:pPr>
        <w:spacing w:line="32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十三、协议的生效</w:t>
      </w:r>
    </w:p>
    <w:p w14:paraId="5508BB81">
      <w:pPr>
        <w:spacing w:line="320" w:lineRule="exact"/>
        <w:ind w:firstLine="480" w:firstLineChars="200"/>
        <w:rPr>
          <w:rFonts w:hint="default" w:ascii="仿宋" w:hAnsi="仿宋" w:eastAsia="仿宋"/>
          <w:color w:val="auto"/>
          <w:sz w:val="24"/>
          <w:szCs w:val="24"/>
          <w:lang w:val="en-US" w:eastAsia="zh-CN"/>
        </w:rPr>
      </w:pPr>
      <w:r>
        <w:rPr>
          <w:rFonts w:hint="eastAsia" w:ascii="仿宋" w:hAnsi="仿宋" w:eastAsia="仿宋"/>
          <w:color w:val="auto"/>
          <w:sz w:val="24"/>
          <w:szCs w:val="24"/>
        </w:rPr>
        <w:t>本协议经甲乙双方</w:t>
      </w:r>
      <w:r>
        <w:rPr>
          <w:rFonts w:hint="eastAsia" w:ascii="仿宋" w:hAnsi="仿宋" w:eastAsia="仿宋"/>
          <w:color w:val="auto"/>
          <w:sz w:val="24"/>
          <w:szCs w:val="24"/>
          <w:lang w:val="en-US" w:eastAsia="zh-CN"/>
        </w:rPr>
        <w:t>签字</w:t>
      </w:r>
      <w:r>
        <w:rPr>
          <w:rFonts w:hint="eastAsia" w:ascii="仿宋" w:hAnsi="仿宋" w:eastAsia="仿宋"/>
          <w:color w:val="auto"/>
          <w:sz w:val="24"/>
          <w:szCs w:val="24"/>
        </w:rPr>
        <w:t>盖章后生效。</w:t>
      </w:r>
      <w:r>
        <w:rPr>
          <w:rFonts w:hint="eastAsia" w:ascii="仿宋" w:hAnsi="仿宋" w:eastAsia="仿宋"/>
          <w:color w:val="auto"/>
          <w:sz w:val="24"/>
          <w:szCs w:val="24"/>
          <w:lang w:val="en-US" w:eastAsia="zh-CN"/>
        </w:rPr>
        <w:t>本协议壹式贰份，双方各执壹份。</w:t>
      </w:r>
    </w:p>
    <w:p w14:paraId="6D9054A3">
      <w:pPr>
        <w:numPr>
          <w:ilvl w:val="0"/>
          <w:numId w:val="1"/>
        </w:numPr>
        <w:spacing w:line="32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本协议未约定内容，甲乙双方可另行协议，另行协议与本协议具有同等法律效力。</w:t>
      </w:r>
    </w:p>
    <w:p w14:paraId="12543EBB">
      <w:pPr>
        <w:spacing w:line="320" w:lineRule="exact"/>
        <w:ind w:firstLine="440" w:firstLineChars="200"/>
        <w:rPr>
          <w:rFonts w:hint="eastAsia" w:ascii="仿宋" w:hAnsi="仿宋" w:eastAsia="仿宋"/>
          <w:color w:val="auto"/>
          <w:sz w:val="22"/>
          <w:szCs w:val="22"/>
          <w:lang w:eastAsia="zh-CN"/>
        </w:rPr>
      </w:pPr>
      <w:r>
        <w:rPr>
          <w:rFonts w:hint="eastAsia" w:ascii="仿宋" w:hAnsi="仿宋" w:eastAsia="仿宋"/>
          <w:color w:val="auto"/>
          <w:sz w:val="22"/>
          <w:szCs w:val="22"/>
          <w:lang w:eastAsia="zh-CN"/>
        </w:rPr>
        <w:t>本协议最终解释权归哈尔滨产权交易所有限责任公司所有。</w:t>
      </w:r>
    </w:p>
    <w:p w14:paraId="2BC1692E">
      <w:pPr>
        <w:spacing w:line="320" w:lineRule="exact"/>
        <w:ind w:firstLine="240" w:firstLineChars="100"/>
        <w:rPr>
          <w:rFonts w:hint="eastAsia" w:ascii="仿宋" w:hAnsi="仿宋" w:eastAsia="仿宋"/>
          <w:color w:val="000000" w:themeColor="text1"/>
          <w:sz w:val="24"/>
          <w:szCs w:val="24"/>
          <w:lang w:eastAsia="zh-CN"/>
        </w:rPr>
      </w:pPr>
      <w:r>
        <w:rPr>
          <w:rFonts w:hint="eastAsia" w:ascii="仿宋" w:hAnsi="仿宋" w:eastAsia="仿宋"/>
          <w:color w:val="000000" w:themeColor="text1"/>
          <w:sz w:val="24"/>
          <w:szCs w:val="24"/>
          <w:lang w:eastAsia="zh-CN"/>
        </w:rPr>
        <w:t>（</w:t>
      </w:r>
      <w:r>
        <w:rPr>
          <w:rFonts w:hint="eastAsia" w:ascii="仿宋" w:hAnsi="仿宋" w:eastAsia="仿宋"/>
          <w:color w:val="000000" w:themeColor="text1"/>
          <w:sz w:val="24"/>
          <w:szCs w:val="24"/>
          <w:lang w:val="en-US" w:eastAsia="zh-CN"/>
        </w:rPr>
        <w:t>以下无正文</w:t>
      </w:r>
      <w:r>
        <w:rPr>
          <w:rFonts w:hint="eastAsia" w:ascii="仿宋" w:hAnsi="仿宋" w:eastAsia="仿宋"/>
          <w:color w:val="000000" w:themeColor="text1"/>
          <w:sz w:val="24"/>
          <w:szCs w:val="24"/>
          <w:lang w:eastAsia="zh-CN"/>
        </w:rPr>
        <w:t>）</w:t>
      </w:r>
    </w:p>
    <w:p w14:paraId="41A64DF4">
      <w:pPr>
        <w:spacing w:line="320" w:lineRule="exact"/>
        <w:ind w:firstLine="482" w:firstLineChars="200"/>
        <w:rPr>
          <w:rFonts w:hint="eastAsia" w:ascii="仿宋" w:hAnsi="仿宋" w:eastAsia="仿宋"/>
          <w:b/>
          <w:bCs/>
          <w:color w:val="000000" w:themeColor="text1"/>
          <w:sz w:val="24"/>
          <w:szCs w:val="24"/>
          <w:u w:val="single"/>
          <w:lang w:val="en-US" w:eastAsia="zh-CN"/>
        </w:rPr>
      </w:pPr>
      <w:r>
        <w:rPr>
          <w:rFonts w:hint="eastAsia" w:ascii="仿宋" w:hAnsi="仿宋" w:eastAsia="仿宋"/>
          <w:b/>
          <w:bCs/>
          <w:color w:val="000000" w:themeColor="text1"/>
          <w:sz w:val="24"/>
          <w:szCs w:val="24"/>
          <w:u w:val="single"/>
          <w:lang w:val="en-US" w:eastAsia="zh-CN"/>
        </w:rPr>
        <w:t xml:space="preserve">  </w:t>
      </w:r>
    </w:p>
    <w:p w14:paraId="6DD2EDB0">
      <w:pPr>
        <w:spacing w:line="320" w:lineRule="exact"/>
        <w:ind w:firstLine="482" w:firstLineChars="200"/>
        <w:rPr>
          <w:rFonts w:hint="eastAsia" w:ascii="仿宋" w:hAnsi="仿宋" w:eastAsia="仿宋"/>
          <w:b/>
          <w:bCs/>
          <w:color w:val="000000" w:themeColor="text1"/>
          <w:sz w:val="24"/>
          <w:szCs w:val="24"/>
          <w:u w:val="single"/>
          <w:lang w:val="en-US" w:eastAsia="zh-CN"/>
        </w:rPr>
      </w:pPr>
    </w:p>
    <w:p w14:paraId="48FD7F60">
      <w:pPr>
        <w:spacing w:line="320" w:lineRule="exact"/>
        <w:ind w:firstLine="482" w:firstLineChars="200"/>
        <w:rPr>
          <w:rFonts w:hint="default" w:ascii="仿宋" w:hAnsi="仿宋" w:eastAsia="仿宋"/>
          <w:b/>
          <w:bCs/>
          <w:color w:val="000000" w:themeColor="text1"/>
          <w:sz w:val="24"/>
          <w:szCs w:val="24"/>
          <w:u w:val="single"/>
          <w:lang w:val="en-US" w:eastAsia="zh-CN"/>
        </w:rPr>
      </w:pPr>
      <w:r>
        <w:rPr>
          <w:rFonts w:hint="eastAsia" w:ascii="仿宋" w:hAnsi="仿宋" w:eastAsia="仿宋"/>
          <w:b/>
          <w:bCs/>
          <w:color w:val="000000" w:themeColor="text1"/>
          <w:sz w:val="24"/>
          <w:szCs w:val="24"/>
          <w:u w:val="single"/>
          <w:lang w:val="en-US" w:eastAsia="zh-CN"/>
        </w:rPr>
        <w:t>（本页为签署页）</w:t>
      </w:r>
    </w:p>
    <w:p w14:paraId="2D1B3DC8">
      <w:pPr>
        <w:spacing w:line="320" w:lineRule="exact"/>
        <w:ind w:firstLine="482" w:firstLineChars="200"/>
        <w:rPr>
          <w:rFonts w:ascii="仿宋" w:hAnsi="仿宋" w:eastAsia="仿宋"/>
          <w:b/>
          <w:bCs/>
          <w:color w:val="000000" w:themeColor="text1"/>
          <w:sz w:val="24"/>
          <w:szCs w:val="24"/>
        </w:rPr>
      </w:pPr>
      <w:r>
        <w:rPr>
          <w:rFonts w:hint="eastAsia" w:ascii="仿宋" w:hAnsi="仿宋" w:eastAsia="仿宋"/>
          <w:b/>
          <w:bCs/>
          <w:color w:val="000000" w:themeColor="text1"/>
          <w:sz w:val="24"/>
          <w:szCs w:val="24"/>
          <w:u w:val="single"/>
        </w:rPr>
        <w:t>甲方（公章）：</w:t>
      </w:r>
      <w:r>
        <w:rPr>
          <w:rFonts w:hint="eastAsia" w:ascii="仿宋" w:hAnsi="仿宋" w:eastAsia="仿宋"/>
          <w:b/>
          <w:bCs/>
          <w:color w:val="000000" w:themeColor="text1"/>
          <w:sz w:val="24"/>
          <w:szCs w:val="24"/>
        </w:rPr>
        <w:t xml:space="preserve">                       </w:t>
      </w:r>
      <w:r>
        <w:rPr>
          <w:rFonts w:hint="eastAsia" w:ascii="仿宋" w:hAnsi="仿宋" w:eastAsia="仿宋"/>
          <w:b/>
          <w:bCs/>
          <w:color w:val="000000" w:themeColor="text1"/>
          <w:sz w:val="24"/>
          <w:szCs w:val="24"/>
          <w:u w:val="single"/>
        </w:rPr>
        <w:t>乙方（公章）：</w:t>
      </w:r>
    </w:p>
    <w:p w14:paraId="66A1AECB">
      <w:pPr>
        <w:spacing w:line="320" w:lineRule="exact"/>
        <w:rPr>
          <w:rFonts w:ascii="仿宋" w:hAnsi="仿宋" w:eastAsia="仿宋"/>
          <w:b/>
          <w:bCs/>
          <w:color w:val="000000" w:themeColor="text1"/>
          <w:sz w:val="24"/>
          <w:szCs w:val="24"/>
        </w:rPr>
      </w:pPr>
    </w:p>
    <w:p w14:paraId="569ABECE">
      <w:pPr>
        <w:spacing w:line="320" w:lineRule="exact"/>
        <w:ind w:firstLine="482" w:firstLineChars="200"/>
        <w:rPr>
          <w:rFonts w:hint="eastAsia" w:ascii="仿宋" w:hAnsi="仿宋" w:eastAsia="仿宋"/>
          <w:b/>
          <w:bCs/>
          <w:color w:val="000000" w:themeColor="text1"/>
          <w:sz w:val="24"/>
          <w:szCs w:val="24"/>
          <w:u w:val="single"/>
        </w:rPr>
      </w:pPr>
      <w:r>
        <w:rPr>
          <w:rFonts w:hint="eastAsia" w:ascii="仿宋" w:hAnsi="仿宋" w:eastAsia="仿宋"/>
          <w:b/>
          <w:bCs/>
          <w:color w:val="000000" w:themeColor="text1"/>
          <w:sz w:val="24"/>
          <w:szCs w:val="24"/>
          <w:u w:val="single"/>
        </w:rPr>
        <w:t>法定代表人</w:t>
      </w:r>
      <w:r>
        <w:rPr>
          <w:rFonts w:hint="eastAsia" w:ascii="仿宋" w:hAnsi="仿宋" w:eastAsia="仿宋"/>
          <w:b/>
          <w:bCs/>
          <w:color w:val="000000" w:themeColor="text1"/>
          <w:sz w:val="24"/>
          <w:szCs w:val="24"/>
          <w:u w:val="single"/>
          <w:lang w:val="en-US" w:eastAsia="zh-CN"/>
        </w:rPr>
        <w:t>/授权代表</w:t>
      </w:r>
      <w:r>
        <w:rPr>
          <w:rFonts w:hint="eastAsia" w:ascii="仿宋" w:hAnsi="仿宋" w:eastAsia="仿宋"/>
          <w:b/>
          <w:bCs/>
          <w:color w:val="000000" w:themeColor="text1"/>
          <w:sz w:val="24"/>
          <w:szCs w:val="24"/>
          <w:u w:val="single"/>
        </w:rPr>
        <w:t>（签章）：</w:t>
      </w:r>
      <w:r>
        <w:rPr>
          <w:rFonts w:hint="eastAsia" w:ascii="仿宋" w:hAnsi="仿宋" w:eastAsia="仿宋"/>
          <w:b/>
          <w:bCs/>
          <w:color w:val="000000" w:themeColor="text1"/>
          <w:sz w:val="24"/>
          <w:szCs w:val="24"/>
        </w:rPr>
        <w:t xml:space="preserve">       </w:t>
      </w:r>
      <w:r>
        <w:rPr>
          <w:rFonts w:hint="eastAsia" w:ascii="仿宋" w:hAnsi="仿宋" w:eastAsia="仿宋"/>
          <w:b/>
          <w:bCs/>
          <w:color w:val="000000" w:themeColor="text1"/>
          <w:sz w:val="24"/>
          <w:szCs w:val="24"/>
          <w:u w:val="single"/>
        </w:rPr>
        <w:t>法定代表人</w:t>
      </w:r>
      <w:r>
        <w:rPr>
          <w:rFonts w:hint="eastAsia" w:ascii="仿宋" w:hAnsi="仿宋" w:eastAsia="仿宋"/>
          <w:b/>
          <w:bCs/>
          <w:color w:val="000000" w:themeColor="text1"/>
          <w:sz w:val="24"/>
          <w:szCs w:val="24"/>
          <w:u w:val="single"/>
          <w:lang w:val="en-US" w:eastAsia="zh-CN"/>
        </w:rPr>
        <w:t>/授权代表</w:t>
      </w:r>
      <w:r>
        <w:rPr>
          <w:rFonts w:hint="eastAsia" w:ascii="仿宋" w:hAnsi="仿宋" w:eastAsia="仿宋"/>
          <w:b/>
          <w:bCs/>
          <w:color w:val="000000" w:themeColor="text1"/>
          <w:sz w:val="24"/>
          <w:szCs w:val="24"/>
          <w:u w:val="single"/>
        </w:rPr>
        <w:t>（签章）：</w:t>
      </w:r>
    </w:p>
    <w:p w14:paraId="20A8B19A">
      <w:pPr>
        <w:spacing w:line="320" w:lineRule="exact"/>
        <w:ind w:firstLine="482" w:firstLineChars="200"/>
        <w:rPr>
          <w:rFonts w:hint="eastAsia" w:ascii="仿宋" w:hAnsi="仿宋" w:eastAsia="仿宋"/>
          <w:b/>
          <w:bCs/>
          <w:color w:val="000000" w:themeColor="text1"/>
          <w:sz w:val="24"/>
          <w:szCs w:val="24"/>
          <w:u w:val="single"/>
        </w:rPr>
      </w:pPr>
    </w:p>
    <w:p w14:paraId="6060270E">
      <w:pPr>
        <w:spacing w:line="320" w:lineRule="exact"/>
        <w:ind w:firstLine="482" w:firstLineChars="200"/>
        <w:rPr>
          <w:rFonts w:hint="eastAsia" w:ascii="仿宋" w:hAnsi="仿宋" w:eastAsia="仿宋"/>
          <w:b/>
          <w:bCs/>
          <w:color w:val="000000" w:themeColor="text1"/>
          <w:sz w:val="24"/>
          <w:szCs w:val="24"/>
          <w:u w:val="single"/>
        </w:rPr>
      </w:pPr>
    </w:p>
    <w:p w14:paraId="20720E58">
      <w:pPr>
        <w:spacing w:line="320" w:lineRule="exact"/>
        <w:ind w:firstLine="4337" w:firstLineChars="1800"/>
      </w:pPr>
      <w:r>
        <w:rPr>
          <w:rFonts w:hint="eastAsia" w:ascii="仿宋" w:hAnsi="仿宋" w:eastAsia="仿宋"/>
          <w:b/>
          <w:bCs/>
          <w:color w:val="000000" w:themeColor="text1"/>
          <w:sz w:val="24"/>
          <w:szCs w:val="24"/>
        </w:rPr>
        <w:t>签订日期：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1B90">
    <w:pPr>
      <w:pStyle w:val="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27A7E4DD">
                <w:pPr>
                  <w:pStyle w:val="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A7D2E"/>
    <w:multiLevelType w:val="singleLevel"/>
    <w:tmpl w:val="811A7D2E"/>
    <w:lvl w:ilvl="0" w:tentative="0">
      <w:start w:val="1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c1NGZhZTQ3MjAwOTUxNWFiZTY1Y2MzMzUyZmUwMzgifQ=="/>
  </w:docVars>
  <w:rsids>
    <w:rsidRoot w:val="00A20012"/>
    <w:rsid w:val="00254EF8"/>
    <w:rsid w:val="003759C8"/>
    <w:rsid w:val="00936AD0"/>
    <w:rsid w:val="00A20012"/>
    <w:rsid w:val="00B2290C"/>
    <w:rsid w:val="00FA30F4"/>
    <w:rsid w:val="01437C5E"/>
    <w:rsid w:val="014A2DD9"/>
    <w:rsid w:val="02B74166"/>
    <w:rsid w:val="03D1333D"/>
    <w:rsid w:val="03F25597"/>
    <w:rsid w:val="04DA1E2A"/>
    <w:rsid w:val="05426F5A"/>
    <w:rsid w:val="05931192"/>
    <w:rsid w:val="06001A92"/>
    <w:rsid w:val="0705265C"/>
    <w:rsid w:val="07833666"/>
    <w:rsid w:val="079320A0"/>
    <w:rsid w:val="086263B2"/>
    <w:rsid w:val="09263E2D"/>
    <w:rsid w:val="09412136"/>
    <w:rsid w:val="09DA63A7"/>
    <w:rsid w:val="0A184BFA"/>
    <w:rsid w:val="0A357916"/>
    <w:rsid w:val="0A5B3280"/>
    <w:rsid w:val="0AF03BED"/>
    <w:rsid w:val="0B0E7C31"/>
    <w:rsid w:val="0B220707"/>
    <w:rsid w:val="0B241AB4"/>
    <w:rsid w:val="0C790A60"/>
    <w:rsid w:val="0C943145"/>
    <w:rsid w:val="0C963D0F"/>
    <w:rsid w:val="0CB3798E"/>
    <w:rsid w:val="0CC442AA"/>
    <w:rsid w:val="0CCA0E61"/>
    <w:rsid w:val="0CF746FE"/>
    <w:rsid w:val="0D4B779A"/>
    <w:rsid w:val="0D587EFC"/>
    <w:rsid w:val="0E5E09A8"/>
    <w:rsid w:val="0E7B2B5B"/>
    <w:rsid w:val="0E8D2557"/>
    <w:rsid w:val="0ECB574F"/>
    <w:rsid w:val="0EED2B72"/>
    <w:rsid w:val="0F1F5830"/>
    <w:rsid w:val="0FAC6D4D"/>
    <w:rsid w:val="0FFF1232"/>
    <w:rsid w:val="10826D5A"/>
    <w:rsid w:val="109A5AB7"/>
    <w:rsid w:val="109F1B1D"/>
    <w:rsid w:val="11785CD8"/>
    <w:rsid w:val="125C45E6"/>
    <w:rsid w:val="12FA773F"/>
    <w:rsid w:val="1457424F"/>
    <w:rsid w:val="147F1999"/>
    <w:rsid w:val="14950A31"/>
    <w:rsid w:val="1582481B"/>
    <w:rsid w:val="1637177C"/>
    <w:rsid w:val="16640041"/>
    <w:rsid w:val="16732916"/>
    <w:rsid w:val="16977839"/>
    <w:rsid w:val="16EC090F"/>
    <w:rsid w:val="16F36F8E"/>
    <w:rsid w:val="173E7CEF"/>
    <w:rsid w:val="184D5278"/>
    <w:rsid w:val="18574301"/>
    <w:rsid w:val="187009ED"/>
    <w:rsid w:val="192213F5"/>
    <w:rsid w:val="1C4F1F1B"/>
    <w:rsid w:val="1D6A512C"/>
    <w:rsid w:val="1EBC73F0"/>
    <w:rsid w:val="1F0A5518"/>
    <w:rsid w:val="1F30508A"/>
    <w:rsid w:val="1FC333FE"/>
    <w:rsid w:val="207D08EA"/>
    <w:rsid w:val="22925C60"/>
    <w:rsid w:val="22F631DF"/>
    <w:rsid w:val="22FE16C0"/>
    <w:rsid w:val="230B44E2"/>
    <w:rsid w:val="2408243C"/>
    <w:rsid w:val="241D0CCF"/>
    <w:rsid w:val="24326E3E"/>
    <w:rsid w:val="24830440"/>
    <w:rsid w:val="24863878"/>
    <w:rsid w:val="24AB3C08"/>
    <w:rsid w:val="24DE5462"/>
    <w:rsid w:val="25137141"/>
    <w:rsid w:val="253155FC"/>
    <w:rsid w:val="2623259E"/>
    <w:rsid w:val="271A18AB"/>
    <w:rsid w:val="27770968"/>
    <w:rsid w:val="287A4E33"/>
    <w:rsid w:val="28C157AB"/>
    <w:rsid w:val="28DD5543"/>
    <w:rsid w:val="29D708E1"/>
    <w:rsid w:val="2C7D299E"/>
    <w:rsid w:val="2D4767AF"/>
    <w:rsid w:val="2E2249FC"/>
    <w:rsid w:val="2E7555F4"/>
    <w:rsid w:val="2F725125"/>
    <w:rsid w:val="30774A61"/>
    <w:rsid w:val="30AF3584"/>
    <w:rsid w:val="311C0A00"/>
    <w:rsid w:val="32E344D7"/>
    <w:rsid w:val="32E3731A"/>
    <w:rsid w:val="33534E0C"/>
    <w:rsid w:val="34621B0D"/>
    <w:rsid w:val="349D5DF9"/>
    <w:rsid w:val="352769B2"/>
    <w:rsid w:val="35536898"/>
    <w:rsid w:val="3579292C"/>
    <w:rsid w:val="36AD513B"/>
    <w:rsid w:val="36B65EE0"/>
    <w:rsid w:val="3963270E"/>
    <w:rsid w:val="3B6B1EF8"/>
    <w:rsid w:val="3B8F5E61"/>
    <w:rsid w:val="3C534E44"/>
    <w:rsid w:val="3C5763A5"/>
    <w:rsid w:val="3C645866"/>
    <w:rsid w:val="3CA91861"/>
    <w:rsid w:val="3D170E73"/>
    <w:rsid w:val="3D3430E0"/>
    <w:rsid w:val="3DE0153A"/>
    <w:rsid w:val="3E2B631F"/>
    <w:rsid w:val="3E833595"/>
    <w:rsid w:val="3E8A468D"/>
    <w:rsid w:val="3EB07C6A"/>
    <w:rsid w:val="3F4C4FDE"/>
    <w:rsid w:val="3F7647BE"/>
    <w:rsid w:val="3FCE5775"/>
    <w:rsid w:val="406C1E2E"/>
    <w:rsid w:val="40A95258"/>
    <w:rsid w:val="418E3FCE"/>
    <w:rsid w:val="41CA49EB"/>
    <w:rsid w:val="41F26381"/>
    <w:rsid w:val="42187335"/>
    <w:rsid w:val="42251E57"/>
    <w:rsid w:val="42953641"/>
    <w:rsid w:val="42E72CEA"/>
    <w:rsid w:val="432C22FD"/>
    <w:rsid w:val="446F615A"/>
    <w:rsid w:val="45014B29"/>
    <w:rsid w:val="45EF3E67"/>
    <w:rsid w:val="474C77FC"/>
    <w:rsid w:val="47B17E34"/>
    <w:rsid w:val="48434CEB"/>
    <w:rsid w:val="484E7660"/>
    <w:rsid w:val="495F2C73"/>
    <w:rsid w:val="49893788"/>
    <w:rsid w:val="49943872"/>
    <w:rsid w:val="49AD45DE"/>
    <w:rsid w:val="49DE52CC"/>
    <w:rsid w:val="4A5409D6"/>
    <w:rsid w:val="4A577C51"/>
    <w:rsid w:val="4AFA157E"/>
    <w:rsid w:val="4B532026"/>
    <w:rsid w:val="4B624EE9"/>
    <w:rsid w:val="4BE661EC"/>
    <w:rsid w:val="4BF22038"/>
    <w:rsid w:val="4D2D1C84"/>
    <w:rsid w:val="4E3D6E8A"/>
    <w:rsid w:val="4F2225E2"/>
    <w:rsid w:val="4F255766"/>
    <w:rsid w:val="4F6127BA"/>
    <w:rsid w:val="4F6D40A2"/>
    <w:rsid w:val="4F7020BD"/>
    <w:rsid w:val="4F754541"/>
    <w:rsid w:val="50827045"/>
    <w:rsid w:val="50A41F6E"/>
    <w:rsid w:val="51313063"/>
    <w:rsid w:val="51616CA9"/>
    <w:rsid w:val="5172415E"/>
    <w:rsid w:val="521759CD"/>
    <w:rsid w:val="5253098E"/>
    <w:rsid w:val="52884ADC"/>
    <w:rsid w:val="531851EC"/>
    <w:rsid w:val="53B41B57"/>
    <w:rsid w:val="53E712B5"/>
    <w:rsid w:val="54B655BD"/>
    <w:rsid w:val="557B2391"/>
    <w:rsid w:val="55840633"/>
    <w:rsid w:val="559061E3"/>
    <w:rsid w:val="55995A6A"/>
    <w:rsid w:val="570A1529"/>
    <w:rsid w:val="57DB397E"/>
    <w:rsid w:val="5813747E"/>
    <w:rsid w:val="581F33C4"/>
    <w:rsid w:val="58A97CD6"/>
    <w:rsid w:val="59484A43"/>
    <w:rsid w:val="5A092E08"/>
    <w:rsid w:val="5A1C5786"/>
    <w:rsid w:val="5AA032E9"/>
    <w:rsid w:val="5AA719E3"/>
    <w:rsid w:val="5AAB1C1D"/>
    <w:rsid w:val="5C5E746E"/>
    <w:rsid w:val="5D003D5E"/>
    <w:rsid w:val="5DD033D8"/>
    <w:rsid w:val="5DFD72EF"/>
    <w:rsid w:val="5DFE6FFC"/>
    <w:rsid w:val="5E33460D"/>
    <w:rsid w:val="5EBC38B6"/>
    <w:rsid w:val="5FA27E33"/>
    <w:rsid w:val="5FE94006"/>
    <w:rsid w:val="600F446C"/>
    <w:rsid w:val="60453005"/>
    <w:rsid w:val="60C9031F"/>
    <w:rsid w:val="616E3449"/>
    <w:rsid w:val="625E0A39"/>
    <w:rsid w:val="626E5D4B"/>
    <w:rsid w:val="626F2859"/>
    <w:rsid w:val="62A50470"/>
    <w:rsid w:val="63D86DE0"/>
    <w:rsid w:val="63DD0C95"/>
    <w:rsid w:val="63FE6D55"/>
    <w:rsid w:val="64195594"/>
    <w:rsid w:val="644A3FD8"/>
    <w:rsid w:val="646C5398"/>
    <w:rsid w:val="6585761A"/>
    <w:rsid w:val="65DF3114"/>
    <w:rsid w:val="66B146EF"/>
    <w:rsid w:val="67550660"/>
    <w:rsid w:val="67CB5C79"/>
    <w:rsid w:val="67F67039"/>
    <w:rsid w:val="680561B3"/>
    <w:rsid w:val="680978EF"/>
    <w:rsid w:val="682A07CD"/>
    <w:rsid w:val="68BF4B0D"/>
    <w:rsid w:val="69E15E33"/>
    <w:rsid w:val="6ACB3615"/>
    <w:rsid w:val="6B282A00"/>
    <w:rsid w:val="6BC01400"/>
    <w:rsid w:val="6BCF4B05"/>
    <w:rsid w:val="6BDD235C"/>
    <w:rsid w:val="6C157DA1"/>
    <w:rsid w:val="6C7E4590"/>
    <w:rsid w:val="6D996B3B"/>
    <w:rsid w:val="6DE02FA2"/>
    <w:rsid w:val="6EC634FD"/>
    <w:rsid w:val="70B12753"/>
    <w:rsid w:val="70DD34B8"/>
    <w:rsid w:val="718F62A1"/>
    <w:rsid w:val="71AF3C21"/>
    <w:rsid w:val="72087309"/>
    <w:rsid w:val="72152A41"/>
    <w:rsid w:val="723B46C4"/>
    <w:rsid w:val="74377832"/>
    <w:rsid w:val="74575F8C"/>
    <w:rsid w:val="74F45F47"/>
    <w:rsid w:val="75D23112"/>
    <w:rsid w:val="766D3E0C"/>
    <w:rsid w:val="77A2755F"/>
    <w:rsid w:val="77FC4378"/>
    <w:rsid w:val="786B3324"/>
    <w:rsid w:val="787224E3"/>
    <w:rsid w:val="787C5CC7"/>
    <w:rsid w:val="78C10C53"/>
    <w:rsid w:val="78D702BC"/>
    <w:rsid w:val="798A3F5E"/>
    <w:rsid w:val="79AB62D9"/>
    <w:rsid w:val="7A3337F8"/>
    <w:rsid w:val="7AFC235D"/>
    <w:rsid w:val="7B562BD0"/>
    <w:rsid w:val="7B5B5551"/>
    <w:rsid w:val="7B827A6B"/>
    <w:rsid w:val="7C0E37F9"/>
    <w:rsid w:val="7C4C0C20"/>
    <w:rsid w:val="7D4118AA"/>
    <w:rsid w:val="7D826C78"/>
    <w:rsid w:val="7EDC2EE8"/>
    <w:rsid w:val="7F62698C"/>
    <w:rsid w:val="7FEF1D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Strong"/>
    <w:basedOn w:val="6"/>
    <w:autoRedefine/>
    <w:qFormat/>
    <w:uiPriority w:val="0"/>
    <w:rPr>
      <w:b/>
      <w:bCs/>
    </w:rPr>
  </w:style>
  <w:style w:type="character" w:styleId="8">
    <w:name w:val="FollowedHyperlink"/>
    <w:basedOn w:val="6"/>
    <w:autoRedefine/>
    <w:qFormat/>
    <w:uiPriority w:val="0"/>
    <w:rPr>
      <w:color w:val="800080"/>
      <w:u w:val="none"/>
    </w:rPr>
  </w:style>
  <w:style w:type="character" w:styleId="9">
    <w:name w:val="Emphasis"/>
    <w:basedOn w:val="6"/>
    <w:autoRedefine/>
    <w:qFormat/>
    <w:uiPriority w:val="0"/>
    <w:rPr>
      <w:b/>
      <w:bCs/>
    </w:rPr>
  </w:style>
  <w:style w:type="character" w:styleId="10">
    <w:name w:val="HTML Definition"/>
    <w:basedOn w:val="6"/>
    <w:autoRedefine/>
    <w:qFormat/>
    <w:uiPriority w:val="0"/>
  </w:style>
  <w:style w:type="character" w:styleId="11">
    <w:name w:val="HTML Typewriter"/>
    <w:basedOn w:val="6"/>
    <w:autoRedefine/>
    <w:qFormat/>
    <w:uiPriority w:val="0"/>
    <w:rPr>
      <w:rFonts w:hint="default" w:ascii="monospace" w:hAnsi="monospace" w:eastAsia="monospace" w:cs="monospace"/>
      <w:sz w:val="20"/>
    </w:rPr>
  </w:style>
  <w:style w:type="character" w:styleId="12">
    <w:name w:val="HTML Acronym"/>
    <w:basedOn w:val="6"/>
    <w:autoRedefine/>
    <w:qFormat/>
    <w:uiPriority w:val="0"/>
    <w:rPr>
      <w:bdr w:val="single" w:color="D6D6D6" w:sz="2" w:space="0"/>
      <w:shd w:val="clear" w:fill="F9F9F9"/>
    </w:rPr>
  </w:style>
  <w:style w:type="character" w:styleId="13">
    <w:name w:val="HTML Variable"/>
    <w:basedOn w:val="6"/>
    <w:autoRedefine/>
    <w:qFormat/>
    <w:uiPriority w:val="0"/>
  </w:style>
  <w:style w:type="character" w:styleId="14">
    <w:name w:val="Hyperlink"/>
    <w:basedOn w:val="6"/>
    <w:autoRedefine/>
    <w:qFormat/>
    <w:uiPriority w:val="0"/>
    <w:rPr>
      <w:color w:val="0000FF"/>
      <w:u w:val="none"/>
    </w:rPr>
  </w:style>
  <w:style w:type="character" w:styleId="15">
    <w:name w:val="HTML Code"/>
    <w:basedOn w:val="6"/>
    <w:autoRedefine/>
    <w:qFormat/>
    <w:uiPriority w:val="0"/>
    <w:rPr>
      <w:rFonts w:ascii="monospace" w:hAnsi="monospace" w:eastAsia="monospace" w:cs="monospace"/>
      <w:sz w:val="20"/>
    </w:rPr>
  </w:style>
  <w:style w:type="character" w:styleId="16">
    <w:name w:val="HTML Cite"/>
    <w:basedOn w:val="6"/>
    <w:autoRedefine/>
    <w:qFormat/>
    <w:uiPriority w:val="0"/>
  </w:style>
  <w:style w:type="character" w:styleId="17">
    <w:name w:val="HTML Keyboard"/>
    <w:basedOn w:val="6"/>
    <w:autoRedefine/>
    <w:qFormat/>
    <w:uiPriority w:val="0"/>
    <w:rPr>
      <w:rFonts w:hint="default" w:ascii="monospace" w:hAnsi="monospace" w:eastAsia="monospace" w:cs="monospace"/>
      <w:sz w:val="20"/>
    </w:rPr>
  </w:style>
  <w:style w:type="character" w:styleId="18">
    <w:name w:val="HTML Sample"/>
    <w:basedOn w:val="6"/>
    <w:autoRedefine/>
    <w:qFormat/>
    <w:uiPriority w:val="0"/>
    <w:rPr>
      <w:rFonts w:hint="default" w:ascii="monospace" w:hAnsi="monospace" w:eastAsia="monospace" w:cs="monospace"/>
    </w:rPr>
  </w:style>
  <w:style w:type="character" w:customStyle="1" w:styleId="19">
    <w:name w:val="hover"/>
    <w:basedOn w:val="6"/>
    <w:autoRedefine/>
    <w:qFormat/>
    <w:uiPriority w:val="0"/>
    <w:rPr>
      <w:color w:val="2590EB"/>
    </w:rPr>
  </w:style>
  <w:style w:type="character" w:customStyle="1" w:styleId="20">
    <w:name w:val="hover1"/>
    <w:basedOn w:val="6"/>
    <w:autoRedefine/>
    <w:qFormat/>
    <w:uiPriority w:val="0"/>
    <w:rPr>
      <w:color w:val="2590EB"/>
    </w:rPr>
  </w:style>
  <w:style w:type="character" w:customStyle="1" w:styleId="21">
    <w:name w:val="hover2"/>
    <w:basedOn w:val="6"/>
    <w:autoRedefine/>
    <w:qFormat/>
    <w:uiPriority w:val="0"/>
  </w:style>
  <w:style w:type="character" w:customStyle="1" w:styleId="22">
    <w:name w:val="hover3"/>
    <w:basedOn w:val="6"/>
    <w:qFormat/>
    <w:uiPriority w:val="0"/>
    <w:rPr>
      <w:color w:val="2590EB"/>
    </w:rPr>
  </w:style>
  <w:style w:type="paragraph" w:customStyle="1" w:styleId="23">
    <w:name w:val="Table Text"/>
    <w:basedOn w:val="1"/>
    <w:semiHidden/>
    <w:qFormat/>
    <w:uiPriority w:val="0"/>
    <w:rPr>
      <w:rFonts w:ascii="宋体" w:hAnsi="宋体" w:eastAsia="宋体" w:cs="宋体"/>
      <w:sz w:val="13"/>
      <w:szCs w:val="13"/>
      <w:lang w:val="en-US" w:eastAsia="en-US" w:bidi="ar-SA"/>
    </w:rPr>
  </w:style>
  <w:style w:type="table" w:customStyle="1" w:styleId="24">
    <w:name w:val="Table Normal"/>
    <w:semiHidden/>
    <w:unhideWhenUsed/>
    <w:qFormat/>
    <w:uiPriority w:val="0"/>
    <w:tblPr>
      <w:tblCellMar>
        <w:top w:w="0" w:type="dxa"/>
        <w:left w:w="0" w:type="dxa"/>
        <w:bottom w:w="0" w:type="dxa"/>
        <w:right w:w="0" w:type="dxa"/>
      </w:tblCellMar>
    </w:tblPr>
  </w:style>
  <w:style w:type="character" w:customStyle="1" w:styleId="25">
    <w:name w:val="mini-outputtext1"/>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2988</Words>
  <Characters>3109</Characters>
  <Lines>19</Lines>
  <Paragraphs>5</Paragraphs>
  <TotalTime>27</TotalTime>
  <ScaleCrop>false</ScaleCrop>
  <LinksUpToDate>false</LinksUpToDate>
  <CharactersWithSpaces>3171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2021-02-18T09:33:00Z</dcterms:created>
  <dc:creator>哈交所</dc:creator>
  <cp:lastModifiedBy>Administrator</cp:lastModifiedBy>
  <cp:lastPrinted>2024-12-13T16:47:00Z</cp:lastPrinted>
  <dcterms:modified xsi:type="dcterms:W3CDTF">2026-10-13T06:50:25Z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C467619667604DFCB4CA609192462EFF</vt:lpwstr>
  </property>
  <property fmtid="{D5CDD505-2E9C-101B-9397-08002B2CF9AE}" pid="4" name="KSOTemplateDocerSaveRecord">
    <vt:lpwstr>eyJoZGlkIjoiMzYwYmI0ZjEwN2U3N2Q3M2ZiYTU3ZWVhNGY4ZWJkYzciLCJ1c2VySWQiOiIzODY1NjE3NjgifQ==</vt:lpwstr>
  </property>
</Properties>
</file>