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numPr>
          <w:ilvl w:val="0"/>
          <w:numId w:val="1"/>
        </w:numPr>
        <w:outlineLvl w:val="0"/>
      </w:pPr>
      <w:r>
        <w:rPr>
          <w:rFonts w:hint="eastAsia"/>
        </w:rPr>
        <w:t xml:space="preserve"> 技术参数对比响应表</w:t>
      </w:r>
    </w:p>
    <w:p>
      <w:pPr>
        <w:pStyle w:val="20"/>
        <w:outlineLvl w:val="0"/>
        <w:rPr>
          <w:rFonts w:hint="eastAsia"/>
        </w:rPr>
      </w:pPr>
      <w:r>
        <w:rPr>
          <w:rFonts w:hint="eastAsia"/>
        </w:rPr>
        <w:t>《技术参数响应对比表》</w:t>
      </w:r>
    </w:p>
    <w:p>
      <w:pPr>
        <w:pStyle w:val="20"/>
        <w:outlineLvl w:val="0"/>
        <w:rPr>
          <w:rFonts w:hint="eastAsia"/>
        </w:rPr>
      </w:pPr>
      <w:r>
        <w:rPr>
          <w:rFonts w:hint="eastAsia"/>
          <w:sz w:val="21"/>
          <w:szCs w:val="21"/>
          <w:lang w:eastAsia="zh-CN"/>
        </w:rPr>
        <w:t>哈农交采﹝2024﹞第</w:t>
      </w:r>
      <w:r>
        <w:rPr>
          <w:rFonts w:hint="eastAsia"/>
          <w:sz w:val="21"/>
          <w:szCs w:val="21"/>
          <w:lang w:val="en-US" w:eastAsia="zh-CN"/>
        </w:rPr>
        <w:t>123</w:t>
      </w:r>
      <w:r>
        <w:rPr>
          <w:rFonts w:hint="eastAsia"/>
          <w:sz w:val="21"/>
          <w:szCs w:val="21"/>
          <w:lang w:eastAsia="zh-CN"/>
        </w:rPr>
        <w:t>号</w:t>
      </w:r>
      <w:r>
        <w:rPr>
          <w:rFonts w:hint="eastAsia"/>
          <w:sz w:val="21"/>
          <w:szCs w:val="21"/>
        </w:rPr>
        <w:t xml:space="preserve">        </w:t>
      </w:r>
      <w:r>
        <w:rPr>
          <w:rFonts w:hint="eastAsia"/>
          <w:sz w:val="21"/>
          <w:szCs w:val="21"/>
          <w:lang w:val="en-US" w:eastAsia="zh-CN"/>
        </w:rPr>
        <w:t>五常市牛家满族镇民旗村经济合作社水泥道路铺垫服务项目</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7"/>
        <w:gridCol w:w="2374"/>
        <w:gridCol w:w="2615"/>
        <w:gridCol w:w="2615"/>
        <w:gridCol w:w="2165"/>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857" w:type="pct"/>
            <w:vAlign w:val="center"/>
          </w:tcPr>
          <w:p>
            <w:pPr>
              <w:pStyle w:val="20"/>
              <w:spacing w:line="240" w:lineRule="auto"/>
              <w:outlineLvl w:val="0"/>
              <w:rPr>
                <w:rFonts w:ascii="仿宋" w:hAnsi="仿宋" w:cs="仿宋"/>
                <w:snapToGrid w:val="0"/>
                <w:sz w:val="28"/>
                <w:szCs w:val="28"/>
              </w:rPr>
            </w:pPr>
            <w:r>
              <w:rPr>
                <w:rFonts w:hint="eastAsia" w:ascii="仿宋" w:hAnsi="仿宋" w:cs="仿宋"/>
                <w:snapToGrid w:val="0"/>
                <w:sz w:val="28"/>
                <w:szCs w:val="28"/>
              </w:rPr>
              <w:t>序号</w:t>
            </w:r>
          </w:p>
        </w:tc>
        <w:tc>
          <w:tcPr>
            <w:tcW w:w="760" w:type="pct"/>
            <w:vAlign w:val="center"/>
          </w:tcPr>
          <w:p>
            <w:pPr>
              <w:pStyle w:val="20"/>
              <w:spacing w:line="240" w:lineRule="auto"/>
              <w:outlineLvl w:val="0"/>
              <w:rPr>
                <w:rFonts w:ascii="仿宋" w:hAnsi="仿宋" w:cs="仿宋"/>
                <w:snapToGrid w:val="0"/>
                <w:sz w:val="28"/>
                <w:szCs w:val="28"/>
              </w:rPr>
            </w:pPr>
            <w:r>
              <w:rPr>
                <w:rFonts w:hint="eastAsia" w:ascii="仿宋" w:hAnsi="仿宋" w:cs="仿宋"/>
                <w:snapToGrid w:val="0"/>
                <w:sz w:val="28"/>
                <w:szCs w:val="28"/>
              </w:rPr>
              <w:t>名称</w:t>
            </w:r>
          </w:p>
        </w:tc>
        <w:tc>
          <w:tcPr>
            <w:tcW w:w="837" w:type="pct"/>
            <w:vAlign w:val="center"/>
          </w:tcPr>
          <w:p>
            <w:pPr>
              <w:pStyle w:val="20"/>
              <w:spacing w:line="240" w:lineRule="auto"/>
              <w:outlineLvl w:val="0"/>
              <w:rPr>
                <w:rFonts w:hint="default" w:ascii="仿宋" w:hAnsi="仿宋" w:cs="仿宋"/>
                <w:snapToGrid w:val="0"/>
                <w:sz w:val="28"/>
                <w:szCs w:val="28"/>
                <w:lang w:val="en-US" w:eastAsia="zh-CN"/>
              </w:rPr>
            </w:pPr>
            <w:r>
              <w:rPr>
                <w:rFonts w:hint="eastAsia" w:ascii="仿宋" w:hAnsi="仿宋" w:cs="仿宋"/>
                <w:snapToGrid w:val="0"/>
                <w:sz w:val="28"/>
                <w:szCs w:val="28"/>
                <w:lang w:val="en-US" w:eastAsia="zh-CN"/>
              </w:rPr>
              <w:t>参数要求</w:t>
            </w:r>
          </w:p>
        </w:tc>
        <w:tc>
          <w:tcPr>
            <w:tcW w:w="837" w:type="pct"/>
            <w:vAlign w:val="center"/>
          </w:tcPr>
          <w:p>
            <w:pPr>
              <w:pStyle w:val="20"/>
              <w:spacing w:line="240" w:lineRule="auto"/>
              <w:outlineLvl w:val="0"/>
              <w:rPr>
                <w:rFonts w:ascii="仿宋" w:hAnsi="仿宋" w:cs="仿宋"/>
                <w:snapToGrid w:val="0"/>
                <w:sz w:val="28"/>
                <w:szCs w:val="28"/>
              </w:rPr>
            </w:pPr>
            <w:r>
              <w:rPr>
                <w:rFonts w:hint="eastAsia" w:ascii="仿宋" w:hAnsi="仿宋" w:cs="仿宋"/>
                <w:snapToGrid w:val="0"/>
                <w:sz w:val="28"/>
                <w:szCs w:val="28"/>
                <w:lang w:val="en-US" w:eastAsia="zh-CN"/>
              </w:rPr>
              <w:t>计量单位</w:t>
            </w:r>
          </w:p>
        </w:tc>
        <w:tc>
          <w:tcPr>
            <w:tcW w:w="693" w:type="pct"/>
            <w:vAlign w:val="center"/>
          </w:tcPr>
          <w:p>
            <w:pPr>
              <w:pStyle w:val="20"/>
              <w:spacing w:line="240" w:lineRule="auto"/>
              <w:outlineLvl w:val="0"/>
              <w:rPr>
                <w:rFonts w:hint="eastAsia" w:ascii="仿宋" w:hAnsi="仿宋" w:eastAsia="仿宋" w:cs="仿宋"/>
                <w:snapToGrid w:val="0"/>
                <w:sz w:val="28"/>
                <w:szCs w:val="28"/>
                <w:lang w:eastAsia="zh-CN"/>
              </w:rPr>
            </w:pPr>
            <w:r>
              <w:rPr>
                <w:rFonts w:hint="eastAsia" w:ascii="仿宋" w:hAnsi="仿宋" w:cs="仿宋"/>
                <w:spacing w:val="-1"/>
                <w:sz w:val="28"/>
                <w:szCs w:val="28"/>
                <w:lang w:val="en-US" w:eastAsia="zh-CN"/>
              </w:rPr>
              <w:t>数量</w:t>
            </w:r>
          </w:p>
        </w:tc>
        <w:tc>
          <w:tcPr>
            <w:tcW w:w="1012" w:type="pct"/>
          </w:tcPr>
          <w:p>
            <w:pPr>
              <w:pStyle w:val="20"/>
              <w:spacing w:line="240" w:lineRule="auto"/>
              <w:outlineLvl w:val="0"/>
              <w:rPr>
                <w:sz w:val="28"/>
                <w:szCs w:val="28"/>
              </w:rPr>
            </w:pPr>
            <w:r>
              <w:rPr>
                <w:rFonts w:hint="eastAsia" w:ascii="仿宋" w:hAnsi="仿宋" w:cs="仿宋"/>
                <w:snapToGrid w:val="0"/>
                <w:sz w:val="28"/>
                <w:szCs w:val="28"/>
              </w:rPr>
              <w:t>符合/正偏离/负偏离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57" w:type="pct"/>
          </w:tcPr>
          <w:p>
            <w:pPr>
              <w:pStyle w:val="20"/>
              <w:spacing w:line="240" w:lineRule="auto"/>
              <w:outlineLvl w:val="0"/>
              <w:rPr>
                <w:sz w:val="21"/>
                <w:szCs w:val="21"/>
              </w:rPr>
            </w:pPr>
          </w:p>
        </w:tc>
        <w:tc>
          <w:tcPr>
            <w:tcW w:w="760" w:type="pct"/>
          </w:tcPr>
          <w:p>
            <w:pPr>
              <w:pStyle w:val="20"/>
              <w:spacing w:line="240" w:lineRule="auto"/>
              <w:jc w:val="both"/>
              <w:outlineLvl w:val="0"/>
              <w:rPr>
                <w:sz w:val="21"/>
                <w:szCs w:val="21"/>
              </w:rPr>
            </w:pPr>
          </w:p>
        </w:tc>
        <w:tc>
          <w:tcPr>
            <w:tcW w:w="837" w:type="pct"/>
          </w:tcPr>
          <w:p>
            <w:pPr>
              <w:pStyle w:val="20"/>
              <w:spacing w:line="240" w:lineRule="auto"/>
              <w:outlineLvl w:val="0"/>
              <w:rPr>
                <w:sz w:val="21"/>
                <w:szCs w:val="21"/>
              </w:rPr>
            </w:pPr>
          </w:p>
        </w:tc>
        <w:tc>
          <w:tcPr>
            <w:tcW w:w="837" w:type="pct"/>
          </w:tcPr>
          <w:p>
            <w:pPr>
              <w:pStyle w:val="20"/>
              <w:spacing w:line="240" w:lineRule="auto"/>
              <w:outlineLvl w:val="0"/>
              <w:rPr>
                <w:sz w:val="21"/>
                <w:szCs w:val="21"/>
              </w:rPr>
            </w:pPr>
          </w:p>
        </w:tc>
        <w:tc>
          <w:tcPr>
            <w:tcW w:w="693" w:type="pct"/>
          </w:tcPr>
          <w:p>
            <w:pPr>
              <w:pStyle w:val="20"/>
              <w:spacing w:line="240" w:lineRule="auto"/>
              <w:outlineLvl w:val="0"/>
              <w:rPr>
                <w:sz w:val="21"/>
                <w:szCs w:val="21"/>
              </w:rPr>
            </w:pPr>
          </w:p>
        </w:tc>
        <w:tc>
          <w:tcPr>
            <w:tcW w:w="1012" w:type="pct"/>
          </w:tcPr>
          <w:p>
            <w:pPr>
              <w:pStyle w:val="20"/>
              <w:spacing w:line="240" w:lineRule="auto"/>
              <w:jc w:val="both"/>
              <w:outlineLvl w:val="0"/>
              <w:rPr>
                <w:sz w:val="21"/>
                <w:szCs w:val="21"/>
              </w:rPr>
            </w:pPr>
          </w:p>
        </w:tc>
      </w:tr>
    </w:tbl>
    <w:p>
      <w:pPr>
        <w:spacing w:after="120"/>
        <w:ind w:left="315" w:leftChars="150"/>
        <w:rPr>
          <w:rFonts w:ascii="方正姚体" w:eastAsia="方正姚体"/>
          <w:b/>
          <w:bCs/>
          <w:i/>
          <w:iCs/>
          <w:snapToGrid w:val="0"/>
          <w:sz w:val="36"/>
        </w:rPr>
      </w:pPr>
      <w:r>
        <w:rPr>
          <w:rFonts w:hint="eastAsia" w:ascii="方正姚体" w:eastAsia="方正姚体"/>
          <w:b/>
          <w:bCs/>
          <w:i/>
          <w:iCs/>
          <w:snapToGrid w:val="0"/>
          <w:sz w:val="36"/>
        </w:rPr>
        <w:t xml:space="preserve">[注意] </w:t>
      </w:r>
    </w:p>
    <w:p>
      <w:pPr>
        <w:spacing w:after="120"/>
        <w:ind w:left="315" w:leftChars="150"/>
        <w:rPr>
          <w:rFonts w:ascii="仿宋" w:hAnsi="仿宋" w:eastAsia="仿宋" w:cs="仿宋"/>
          <w:b/>
          <w:bCs/>
          <w:sz w:val="24"/>
        </w:rPr>
      </w:pPr>
      <w:r>
        <w:rPr>
          <w:rFonts w:hint="eastAsia" w:ascii="仿宋" w:hAnsi="仿宋" w:eastAsia="仿宋" w:cs="仿宋"/>
          <w:b/>
          <w:bCs/>
          <w:sz w:val="24"/>
        </w:rPr>
        <w:t>1.服务商应当逐条对照竞价邀请文件采购需求采购明细表，就响应文件对采购明细表存在的偏差与例外逐条做出响应或对比；</w:t>
      </w:r>
    </w:p>
    <w:p>
      <w:pPr>
        <w:spacing w:after="120"/>
        <w:ind w:left="315" w:leftChars="150"/>
        <w:rPr>
          <w:rFonts w:ascii="仿宋" w:hAnsi="仿宋" w:eastAsia="仿宋" w:cs="仿宋"/>
          <w:b/>
          <w:bCs/>
          <w:sz w:val="24"/>
        </w:rPr>
      </w:pPr>
      <w:r>
        <w:rPr>
          <w:rFonts w:hint="eastAsia" w:ascii="仿宋" w:hAnsi="仿宋" w:eastAsia="仿宋" w:cs="仿宋"/>
          <w:b/>
          <w:bCs/>
          <w:sz w:val="24"/>
        </w:rPr>
        <w:t>2.如响应文件对技术条款无任何偏离，</w:t>
      </w:r>
      <w:r>
        <w:rPr>
          <w:rFonts w:hint="eastAsia" w:ascii="仿宋" w:hAnsi="仿宋" w:eastAsia="仿宋" w:cs="仿宋"/>
          <w:b/>
          <w:bCs/>
          <w:sz w:val="30"/>
          <w:szCs w:val="30"/>
        </w:rPr>
        <w:t>服务商需要点对点响应</w:t>
      </w:r>
      <w:r>
        <w:rPr>
          <w:rFonts w:hint="eastAsia" w:ascii="仿宋" w:hAnsi="仿宋" w:eastAsia="仿宋" w:cs="仿宋"/>
          <w:b/>
          <w:bCs/>
          <w:sz w:val="24"/>
        </w:rPr>
        <w:t>，并在本对比表中填写“符合”，需加盖公章；</w:t>
      </w:r>
    </w:p>
    <w:p>
      <w:pPr>
        <w:spacing w:after="120"/>
        <w:ind w:left="315" w:leftChars="150"/>
        <w:rPr>
          <w:rFonts w:ascii="仿宋" w:hAnsi="仿宋" w:eastAsia="仿宋" w:cs="仿宋"/>
          <w:b/>
          <w:bCs/>
          <w:sz w:val="24"/>
        </w:rPr>
      </w:pPr>
      <w:r>
        <w:rPr>
          <w:rFonts w:hint="eastAsia" w:ascii="仿宋" w:hAnsi="仿宋" w:eastAsia="仿宋" w:cs="仿宋"/>
          <w:b/>
          <w:bCs/>
          <w:sz w:val="24"/>
        </w:rPr>
        <w:t>3.本表格服务商按竞价邀请文件中采购需求采购明细表中的主要设备安装明细表自行延伸。</w:t>
      </w:r>
    </w:p>
    <w:p>
      <w:pPr>
        <w:pStyle w:val="20"/>
        <w:spacing w:line="240" w:lineRule="auto"/>
        <w:jc w:val="both"/>
        <w:outlineLvl w:val="0"/>
        <w:rPr>
          <w:sz w:val="21"/>
          <w:szCs w:val="21"/>
        </w:rPr>
      </w:pPr>
    </w:p>
    <w:tbl>
      <w:tblPr>
        <w:tblStyle w:val="8"/>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2"/>
        <w:gridCol w:w="6141"/>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2460" w:type="pct"/>
          </w:tcPr>
          <w:p>
            <w:r>
              <w:rPr>
                <w:rFonts w:hint="eastAsia"/>
              </w:rPr>
              <w:t>货物要求：1、提供的货物名称、尺寸、技术规格型号、技术参数等与竞价文件承诺相一致；</w:t>
            </w:r>
          </w:p>
          <w:p>
            <w:r>
              <w:rPr>
                <w:rFonts w:hint="eastAsia"/>
              </w:rPr>
              <w:t>2、提供的货物是全新、未使用的原装正品，达到相应国家标准，所有产品技术参数符合采购方生产要求，并满足采购货物要求中全部内容；</w:t>
            </w:r>
          </w:p>
          <w:p>
            <w:r>
              <w:rPr>
                <w:rFonts w:hint="eastAsia"/>
              </w:rPr>
              <w:t>3、所提供的货物在使用时不会侵犯任何第三方的专利权、商标权、工业设计权或其他权利；</w:t>
            </w:r>
          </w:p>
          <w:p>
            <w:r>
              <w:rPr>
                <w:rFonts w:hint="eastAsia"/>
              </w:rPr>
              <w:t>二、其他要求：</w:t>
            </w:r>
          </w:p>
          <w:p>
            <w:pPr>
              <w:pStyle w:val="21"/>
              <w:rPr>
                <w:rFonts w:hint="default"/>
                <w:lang w:val="en-US" w:eastAsia="zh-CN"/>
              </w:rPr>
            </w:pPr>
            <w:r>
              <w:rPr>
                <w:rFonts w:hint="eastAsia"/>
                <w:lang w:val="en-US" w:eastAsia="zh-CN"/>
              </w:rPr>
              <w:t>交货期：合同签订后40日内完工</w:t>
            </w:r>
          </w:p>
          <w:p>
            <w:pPr>
              <w:pStyle w:val="21"/>
              <w:rPr>
                <w:rFonts w:hint="default"/>
                <w:lang w:val="en-US" w:eastAsia="zh-CN"/>
              </w:rPr>
            </w:pPr>
            <w:r>
              <w:rPr>
                <w:rFonts w:hint="eastAsia"/>
                <w:lang w:val="en-US" w:eastAsia="zh-CN"/>
              </w:rPr>
              <w:t>履约保证金：成交后采购人需收取10万元履约保证金，具体时间采购人要求以双方签订合同约定。</w:t>
            </w:r>
          </w:p>
        </w:tc>
        <w:tc>
          <w:tcPr>
            <w:tcW w:w="1982" w:type="pct"/>
          </w:tcPr>
          <w:p>
            <w:pPr>
              <w:widowControl/>
              <w:jc w:val="left"/>
              <w:textAlignment w:val="center"/>
              <w:rPr>
                <w:rFonts w:ascii="仿宋" w:hAnsi="仿宋" w:eastAsia="仿宋" w:cs="仿宋"/>
                <w:b/>
                <w:kern w:val="0"/>
                <w:sz w:val="18"/>
                <w:szCs w:val="18"/>
                <w:lang w:bidi="ar"/>
              </w:rPr>
            </w:pPr>
            <w:r>
              <w:rPr>
                <w:rFonts w:hint="eastAsia" w:ascii="仿宋" w:hAnsi="仿宋" w:eastAsia="仿宋" w:cs="仿宋"/>
                <w:b/>
                <w:kern w:val="0"/>
                <w:sz w:val="18"/>
                <w:szCs w:val="18"/>
                <w:lang w:bidi="ar"/>
              </w:rPr>
              <w:t>货物要求：</w:t>
            </w:r>
          </w:p>
          <w:p>
            <w:pPr>
              <w:widowControl/>
              <w:jc w:val="left"/>
              <w:textAlignment w:val="center"/>
              <w:rPr>
                <w:rFonts w:ascii="仿宋" w:hAnsi="仿宋" w:eastAsia="仿宋" w:cs="仿宋"/>
                <w:b/>
                <w:kern w:val="0"/>
                <w:sz w:val="18"/>
                <w:szCs w:val="18"/>
                <w:lang w:bidi="ar"/>
              </w:rPr>
            </w:pPr>
            <w:r>
              <w:rPr>
                <w:rFonts w:hint="eastAsia" w:ascii="仿宋" w:hAnsi="仿宋" w:eastAsia="仿宋" w:cs="仿宋"/>
                <w:b/>
                <w:kern w:val="0"/>
                <w:sz w:val="18"/>
                <w:szCs w:val="18"/>
                <w:lang w:bidi="ar"/>
              </w:rPr>
              <w:t>比如</w:t>
            </w:r>
          </w:p>
          <w:p>
            <w:pPr>
              <w:widowControl/>
              <w:jc w:val="left"/>
              <w:textAlignment w:val="center"/>
              <w:rPr>
                <w:rFonts w:ascii="仿宋" w:hAnsi="仿宋" w:eastAsia="仿宋" w:cs="仿宋"/>
                <w:b/>
                <w:sz w:val="18"/>
                <w:szCs w:val="21"/>
              </w:rPr>
            </w:pPr>
            <w:r>
              <w:rPr>
                <w:rFonts w:hint="eastAsia" w:ascii="仿宋" w:hAnsi="仿宋" w:eastAsia="仿宋" w:cs="仿宋"/>
                <w:b/>
                <w:kern w:val="0"/>
                <w:sz w:val="18"/>
                <w:szCs w:val="18"/>
                <w:lang w:bidi="ar"/>
              </w:rPr>
              <w:t>1.我公司提供的货物尺寸</w:t>
            </w:r>
            <w:r>
              <w:rPr>
                <w:rFonts w:hint="eastAsia" w:ascii="仿宋" w:hAnsi="仿宋" w:eastAsia="仿宋" w:cs="仿宋"/>
                <w:b/>
                <w:sz w:val="18"/>
                <w:szCs w:val="21"/>
              </w:rPr>
              <w:t>......</w:t>
            </w:r>
          </w:p>
          <w:p>
            <w:pPr>
              <w:widowControl/>
              <w:jc w:val="left"/>
              <w:textAlignment w:val="center"/>
              <w:rPr>
                <w:rFonts w:ascii="仿宋" w:hAnsi="仿宋" w:eastAsia="仿宋" w:cs="仿宋"/>
                <w:b/>
                <w:sz w:val="18"/>
                <w:szCs w:val="21"/>
              </w:rPr>
            </w:pPr>
            <w:r>
              <w:rPr>
                <w:rFonts w:hint="eastAsia" w:ascii="仿宋" w:hAnsi="仿宋" w:eastAsia="仿宋" w:cs="仿宋"/>
                <w:b/>
                <w:sz w:val="18"/>
                <w:szCs w:val="21"/>
              </w:rPr>
              <w:t>2.</w:t>
            </w:r>
            <w:r>
              <w:rPr>
                <w:rFonts w:hint="eastAsia" w:ascii="仿宋" w:hAnsi="仿宋" w:eastAsia="仿宋" w:cs="仿宋"/>
                <w:b/>
                <w:kern w:val="0"/>
                <w:sz w:val="18"/>
                <w:szCs w:val="18"/>
                <w:lang w:bidi="ar"/>
              </w:rPr>
              <w:t>我公司提供的货物是全新</w:t>
            </w:r>
            <w:r>
              <w:rPr>
                <w:rFonts w:hint="eastAsia" w:ascii="仿宋" w:hAnsi="仿宋" w:eastAsia="仿宋" w:cs="仿宋"/>
                <w:b/>
                <w:sz w:val="18"/>
                <w:szCs w:val="21"/>
              </w:rPr>
              <w:t>......</w:t>
            </w:r>
          </w:p>
          <w:p>
            <w:pPr>
              <w:widowControl/>
              <w:jc w:val="left"/>
              <w:textAlignment w:val="center"/>
              <w:rPr>
                <w:rFonts w:ascii="仿宋" w:hAnsi="仿宋" w:eastAsia="仿宋" w:cs="仿宋"/>
                <w:b/>
                <w:sz w:val="18"/>
                <w:szCs w:val="21"/>
              </w:rPr>
            </w:pPr>
            <w:r>
              <w:rPr>
                <w:rFonts w:hint="eastAsia" w:ascii="仿宋" w:hAnsi="仿宋" w:eastAsia="仿宋" w:cs="仿宋"/>
                <w:b/>
                <w:sz w:val="18"/>
                <w:szCs w:val="21"/>
              </w:rPr>
              <w:t>3.......</w:t>
            </w:r>
          </w:p>
          <w:p>
            <w:pPr>
              <w:pStyle w:val="22"/>
              <w:widowControl w:val="0"/>
              <w:ind w:firstLine="0" w:firstLineChars="0"/>
              <w:rPr>
                <w:b/>
              </w:rPr>
            </w:pPr>
            <w:r>
              <w:rPr>
                <w:rFonts w:hint="eastAsia" w:ascii="仿宋" w:hAnsi="仿宋" w:eastAsia="仿宋" w:cs="仿宋"/>
                <w:b/>
                <w:sz w:val="18"/>
                <w:szCs w:val="21"/>
              </w:rPr>
              <w:t>4.......</w:t>
            </w:r>
          </w:p>
          <w:p>
            <w:pPr>
              <w:keepLines/>
              <w:wordWrap w:val="0"/>
              <w:snapToGrid w:val="0"/>
              <w:spacing w:line="240" w:lineRule="atLeast"/>
              <w:jc w:val="center"/>
              <w:textAlignment w:val="top"/>
              <w:rPr>
                <w:rFonts w:ascii="仿宋" w:hAnsi="仿宋" w:eastAsia="仿宋" w:cs="仿宋"/>
                <w:b/>
                <w:snapToGrid w:val="0"/>
                <w:sz w:val="32"/>
                <w:szCs w:val="32"/>
              </w:rPr>
            </w:pPr>
            <w:r>
              <w:rPr>
                <w:rFonts w:hint="eastAsia" w:ascii="仿宋" w:hAnsi="仿宋" w:eastAsia="仿宋" w:cs="仿宋"/>
                <w:b/>
                <w:snapToGrid w:val="0"/>
                <w:sz w:val="32"/>
                <w:szCs w:val="32"/>
              </w:rPr>
              <w:t>服务商应根据左侧货物要求，</w:t>
            </w:r>
          </w:p>
          <w:p>
            <w:pPr>
              <w:keepLines/>
              <w:wordWrap w:val="0"/>
              <w:snapToGrid w:val="0"/>
              <w:spacing w:line="240" w:lineRule="atLeast"/>
              <w:jc w:val="center"/>
              <w:textAlignment w:val="top"/>
              <w:rPr>
                <w:rFonts w:ascii="仿宋" w:hAnsi="仿宋" w:eastAsia="仿宋" w:cs="仿宋"/>
                <w:b/>
                <w:snapToGrid w:val="0"/>
                <w:sz w:val="32"/>
                <w:szCs w:val="32"/>
              </w:rPr>
            </w:pPr>
            <w:r>
              <w:rPr>
                <w:rFonts w:hint="eastAsia" w:ascii="仿宋" w:hAnsi="仿宋" w:eastAsia="仿宋" w:cs="仿宋"/>
                <w:b/>
                <w:snapToGrid w:val="0"/>
                <w:sz w:val="32"/>
                <w:szCs w:val="32"/>
              </w:rPr>
              <w:t>按实际情况填写在此位置。</w:t>
            </w:r>
          </w:p>
          <w:p>
            <w:pPr>
              <w:pStyle w:val="20"/>
              <w:outlineLvl w:val="0"/>
              <w:rPr>
                <w:szCs w:val="36"/>
              </w:rPr>
            </w:pPr>
            <w:r>
              <w:rPr>
                <w:rFonts w:hint="eastAsia" w:ascii="黑体" w:hAnsi="黑体" w:eastAsia="黑体" w:cs="黑体"/>
                <w:snapToGrid w:val="0"/>
                <w:sz w:val="44"/>
                <w:szCs w:val="44"/>
              </w:rPr>
              <w:t>此处不填资格审查将不予通过</w:t>
            </w:r>
          </w:p>
        </w:tc>
        <w:tc>
          <w:tcPr>
            <w:tcW w:w="557" w:type="pct"/>
          </w:tcPr>
          <w:p>
            <w:pPr>
              <w:pStyle w:val="20"/>
              <w:jc w:val="both"/>
              <w:outlineLvl w:val="0"/>
              <w:rPr>
                <w:rFonts w:ascii="黑体" w:hAnsi="黑体" w:eastAsia="黑体" w:cs="黑体"/>
                <w:snapToGrid w:val="0"/>
                <w:sz w:val="52"/>
                <w:szCs w:val="52"/>
              </w:rPr>
            </w:pPr>
            <w:r>
              <w:rPr>
                <w:rFonts w:hint="eastAsia" w:ascii="黑体" w:hAnsi="黑体" w:eastAsia="黑体" w:cs="黑体"/>
                <w:snapToGrid w:val="0"/>
                <w:sz w:val="52"/>
                <w:szCs w:val="52"/>
              </w:rPr>
              <w:t>此处填写是否</w:t>
            </w:r>
            <w:r>
              <w:rPr>
                <w:rFonts w:hint="eastAsia" w:ascii="黑体" w:hAnsi="黑体" w:eastAsia="黑体" w:cs="黑体"/>
                <w:snapToGrid w:val="0"/>
                <w:sz w:val="84"/>
                <w:szCs w:val="84"/>
              </w:rPr>
              <w:t>符  合</w:t>
            </w:r>
          </w:p>
        </w:tc>
      </w:tr>
    </w:tbl>
    <w:p>
      <w:pPr>
        <w:spacing w:line="312" w:lineRule="auto"/>
        <w:rPr>
          <w:rFonts w:ascii="仿宋" w:hAnsi="仿宋" w:eastAsia="仿宋" w:cs="仿宋"/>
          <w:bCs/>
          <w:sz w:val="24"/>
        </w:rPr>
      </w:pPr>
      <w:r>
        <w:rPr>
          <w:rFonts w:hint="eastAsia" w:ascii="仿宋" w:hAnsi="仿宋" w:eastAsia="仿宋" w:cs="仿宋"/>
          <w:bCs/>
          <w:sz w:val="24"/>
        </w:rPr>
        <w:t>注意：1、服务商必须对应竞价邀请文件填写。</w:t>
      </w:r>
    </w:p>
    <w:p>
      <w:pPr>
        <w:spacing w:line="312" w:lineRule="auto"/>
        <w:ind w:firstLine="720" w:firstLineChars="300"/>
        <w:rPr>
          <w:rFonts w:ascii="仿宋" w:hAnsi="仿宋" w:eastAsia="仿宋" w:cs="仿宋"/>
          <w:bCs/>
          <w:sz w:val="24"/>
        </w:rPr>
      </w:pPr>
      <w:r>
        <w:rPr>
          <w:rFonts w:hint="eastAsia" w:ascii="仿宋" w:hAnsi="仿宋" w:eastAsia="仿宋" w:cs="仿宋"/>
          <w:bCs/>
          <w:sz w:val="24"/>
        </w:rPr>
        <w:t>2、服务商响应采购需求应具体、明确，含糊不清、不确切或伪造、变造证明材料的，按照实质性不响应处理。构成提供虚假材料的，移送监管部门查处。其报价保证金将不再退还。</w:t>
      </w:r>
    </w:p>
    <w:p>
      <w:pPr>
        <w:spacing w:line="312" w:lineRule="auto"/>
        <w:ind w:firstLine="720" w:firstLineChars="300"/>
        <w:rPr>
          <w:rFonts w:ascii="仿宋" w:hAnsi="仿宋" w:eastAsia="仿宋" w:cs="仿宋"/>
          <w:bCs/>
          <w:sz w:val="24"/>
        </w:rPr>
      </w:pPr>
      <w:r>
        <w:rPr>
          <w:rFonts w:hint="eastAsia" w:ascii="仿宋" w:hAnsi="仿宋" w:eastAsia="仿宋" w:cs="仿宋"/>
          <w:bCs/>
          <w:sz w:val="24"/>
        </w:rPr>
        <w:t>3、服务商应按报价货物实际数据填写，不得照抄复制响应文件技术要求。</w:t>
      </w:r>
    </w:p>
    <w:p>
      <w:pPr>
        <w:spacing w:line="312" w:lineRule="auto"/>
        <w:ind w:firstLine="720" w:firstLineChars="300"/>
        <w:rPr>
          <w:rFonts w:ascii="仿宋" w:hAnsi="仿宋" w:eastAsia="仿宋" w:cs="仿宋"/>
          <w:bCs/>
          <w:sz w:val="24"/>
        </w:rPr>
      </w:pPr>
      <w:r>
        <w:rPr>
          <w:rFonts w:hint="eastAsia" w:ascii="仿宋" w:hAnsi="仿宋" w:eastAsia="仿宋" w:cs="仿宋"/>
          <w:bCs/>
          <w:sz w:val="24"/>
        </w:rPr>
        <w:t>4、“符合”指与竞价邀请文件要求一致，“</w:t>
      </w:r>
      <w:r>
        <w:rPr>
          <w:rFonts w:hint="eastAsia" w:ascii="仿宋" w:hAnsi="仿宋" w:eastAsia="仿宋" w:cs="仿宋"/>
          <w:b/>
          <w:bCs w:val="0"/>
          <w:sz w:val="24"/>
        </w:rPr>
        <w:t>正偏离</w:t>
      </w:r>
      <w:r>
        <w:rPr>
          <w:rFonts w:hint="eastAsia" w:ascii="仿宋" w:hAnsi="仿宋" w:eastAsia="仿宋" w:cs="仿宋"/>
          <w:bCs/>
          <w:sz w:val="24"/>
        </w:rPr>
        <w:t>”指性能指标高于竞价邀请文件的要求；“</w:t>
      </w:r>
      <w:r>
        <w:rPr>
          <w:rFonts w:hint="eastAsia" w:ascii="仿宋" w:hAnsi="仿宋" w:eastAsia="仿宋" w:cs="仿宋"/>
          <w:b/>
          <w:bCs w:val="0"/>
          <w:sz w:val="24"/>
        </w:rPr>
        <w:t>负偏离</w:t>
      </w:r>
      <w:r>
        <w:rPr>
          <w:rFonts w:hint="eastAsia" w:ascii="仿宋" w:hAnsi="仿宋" w:eastAsia="仿宋" w:cs="仿宋"/>
          <w:bCs/>
          <w:sz w:val="24"/>
        </w:rPr>
        <w:t>”指性能指标低于竞价邀请文件的要求。</w:t>
      </w:r>
    </w:p>
    <w:p>
      <w:pPr>
        <w:spacing w:line="312" w:lineRule="auto"/>
        <w:ind w:firstLine="720" w:firstLineChars="300"/>
        <w:rPr>
          <w:rFonts w:ascii="仿宋" w:hAnsi="仿宋" w:eastAsia="仿宋" w:cs="仿宋"/>
          <w:bCs/>
          <w:sz w:val="24"/>
        </w:rPr>
      </w:pPr>
      <w:r>
        <w:rPr>
          <w:rFonts w:hint="eastAsia" w:ascii="仿宋" w:hAnsi="仿宋" w:eastAsia="仿宋" w:cs="仿宋"/>
          <w:bCs/>
          <w:sz w:val="24"/>
        </w:rPr>
        <w:t>5、在响应文件“技术参数响应对比表”中没有列述偏离内容的，采购人都认为是完全响应。在合同执行过程中，成交服务商必须无条件的满足竞价邀请文件的技术要求。</w:t>
      </w:r>
    </w:p>
    <w:p>
      <w:pPr>
        <w:spacing w:line="312" w:lineRule="auto"/>
        <w:ind w:firstLine="720" w:firstLineChars="300"/>
        <w:rPr>
          <w:rFonts w:ascii="仿宋" w:hAnsi="仿宋" w:eastAsia="仿宋" w:cs="仿宋"/>
          <w:b/>
          <w:bCs w:val="0"/>
          <w:sz w:val="24"/>
        </w:rPr>
      </w:pPr>
      <w:r>
        <w:rPr>
          <w:rFonts w:hint="eastAsia" w:ascii="仿宋" w:hAnsi="仿宋" w:eastAsia="仿宋" w:cs="仿宋"/>
          <w:bCs/>
          <w:sz w:val="24"/>
        </w:rPr>
        <w:t>6、不得填写“完全响应”等概括性表述，否则作废处理。要求所报货物的对比结果</w:t>
      </w:r>
      <w:r>
        <w:rPr>
          <w:rFonts w:hint="eastAsia" w:ascii="仿宋" w:hAnsi="仿宋" w:eastAsia="仿宋" w:cs="仿宋"/>
          <w:b/>
          <w:bCs w:val="0"/>
          <w:sz w:val="24"/>
        </w:rPr>
        <w:t>必须完全响应采购需求的全部内容，否则将不具备参与竞价的资格。</w:t>
      </w:r>
    </w:p>
    <w:p>
      <w:pPr>
        <w:rPr>
          <w:rFonts w:hint="eastAsia" w:eastAsia="仿宋"/>
          <w:lang w:eastAsia="zh-CN"/>
        </w:rPr>
        <w:sectPr>
          <w:pgSz w:w="16838" w:h="11906" w:orient="landscape"/>
          <w:pgMar w:top="720" w:right="720" w:bottom="720" w:left="720" w:header="851" w:footer="992" w:gutter="0"/>
          <w:cols w:space="0" w:num="1"/>
          <w:docGrid w:type="lines" w:linePitch="316" w:charSpace="0"/>
        </w:sectPr>
      </w:pPr>
      <w:r>
        <w:rPr>
          <w:rFonts w:hint="eastAsia" w:ascii="仿宋" w:hAnsi="仿宋" w:eastAsia="仿宋" w:cs="仿宋"/>
          <w:bCs/>
          <w:sz w:val="24"/>
        </w:rPr>
        <w:t>服务商(公章)：                法定代表人或受托人签字：                日期</w:t>
      </w:r>
      <w:r>
        <w:rPr>
          <w:rFonts w:hint="eastAsia" w:ascii="仿宋" w:hAnsi="仿宋" w:eastAsia="仿宋" w:cs="仿宋"/>
          <w:bCs/>
          <w:sz w:val="24"/>
          <w:lang w:eastAsia="zh-CN"/>
        </w:rPr>
        <w:t>：</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47757"/>
    <w:multiLevelType w:val="singleLevel"/>
    <w:tmpl w:val="A4C47757"/>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NjAwZWZmYjBmNDNmMjE5NzZlYTYzZGE0OGI3ZDMifQ=="/>
  </w:docVars>
  <w:rsids>
    <w:rsidRoot w:val="00000000"/>
    <w:rsid w:val="2CA25080"/>
    <w:rsid w:val="67FD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99"/>
    <w:pPr>
      <w:tabs>
        <w:tab w:val="left" w:pos="180"/>
      </w:tabs>
      <w:ind w:firstLine="420" w:firstLineChars="100"/>
    </w:pPr>
  </w:style>
  <w:style w:type="paragraph" w:styleId="3">
    <w:name w:val="Body Text"/>
    <w:basedOn w:val="1"/>
    <w:next w:val="4"/>
    <w:qFormat/>
    <w:uiPriority w:val="0"/>
    <w:pPr>
      <w:spacing w:after="120"/>
    </w:pPr>
  </w:style>
  <w:style w:type="paragraph" w:styleId="4">
    <w:name w:val="Date"/>
    <w:basedOn w:val="1"/>
    <w:next w:val="1"/>
    <w:qFormat/>
    <w:uiPriority w:val="0"/>
    <w:pPr>
      <w:ind w:left="2500" w:leftChars="2500"/>
    </w:pPr>
  </w:style>
  <w:style w:type="paragraph" w:styleId="5">
    <w:name w:val="Body Text First Indent 2"/>
    <w:basedOn w:val="6"/>
    <w:qFormat/>
    <w:uiPriority w:val="0"/>
    <w:pPr>
      <w:ind w:left="420" w:firstLine="420" w:firstLineChars="200"/>
    </w:pPr>
  </w:style>
  <w:style w:type="paragraph" w:styleId="6">
    <w:name w:val="Body Text Indent"/>
    <w:basedOn w:val="1"/>
    <w:qFormat/>
    <w:uiPriority w:val="0"/>
    <w:pPr>
      <w:spacing w:after="120"/>
      <w:ind w:left="20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0">
    <w:name w:val="FollowedHyperlink"/>
    <w:basedOn w:val="9"/>
    <w:uiPriority w:val="0"/>
    <w:rPr>
      <w:color w:val="800080"/>
      <w:u w:val="none"/>
    </w:rPr>
  </w:style>
  <w:style w:type="character" w:styleId="11">
    <w:name w:val="HTML Definition"/>
    <w:basedOn w:val="9"/>
    <w:uiPriority w:val="0"/>
  </w:style>
  <w:style w:type="character" w:styleId="12">
    <w:name w:val="HTML Typewriter"/>
    <w:basedOn w:val="9"/>
    <w:uiPriority w:val="0"/>
    <w:rPr>
      <w:rFonts w:ascii="monospace" w:hAnsi="monospace" w:eastAsia="monospace" w:cs="monospace"/>
      <w:sz w:val="20"/>
    </w:rPr>
  </w:style>
  <w:style w:type="character" w:styleId="13">
    <w:name w:val="HTML Acronym"/>
    <w:basedOn w:val="9"/>
    <w:uiPriority w:val="0"/>
    <w:rPr>
      <w:bdr w:val="none" w:color="auto" w:sz="0" w:space="0"/>
    </w:rPr>
  </w:style>
  <w:style w:type="character" w:styleId="14">
    <w:name w:val="HTML Variable"/>
    <w:basedOn w:val="9"/>
    <w:uiPriority w:val="0"/>
  </w:style>
  <w:style w:type="character" w:styleId="15">
    <w:name w:val="Hyperlink"/>
    <w:basedOn w:val="9"/>
    <w:uiPriority w:val="0"/>
    <w:rPr>
      <w:color w:val="0000FF"/>
      <w:u w:val="none"/>
    </w:rPr>
  </w:style>
  <w:style w:type="character" w:styleId="16">
    <w:name w:val="HTML Code"/>
    <w:basedOn w:val="9"/>
    <w:uiPriority w:val="0"/>
    <w:rPr>
      <w:rFonts w:hint="default" w:ascii="monospace" w:hAnsi="monospace" w:eastAsia="monospace" w:cs="monospace"/>
      <w:sz w:val="20"/>
      <w:bdr w:val="none" w:color="auto" w:sz="0" w:space="0"/>
    </w:rPr>
  </w:style>
  <w:style w:type="character" w:styleId="17">
    <w:name w:val="HTML Cite"/>
    <w:basedOn w:val="9"/>
    <w:uiPriority w:val="0"/>
  </w:style>
  <w:style w:type="character" w:styleId="18">
    <w:name w:val="HTML Keyboard"/>
    <w:basedOn w:val="9"/>
    <w:uiPriority w:val="0"/>
    <w:rPr>
      <w:rFonts w:hint="default" w:ascii="monospace" w:hAnsi="monospace" w:eastAsia="monospace" w:cs="monospace"/>
      <w:sz w:val="20"/>
    </w:rPr>
  </w:style>
  <w:style w:type="character" w:styleId="19">
    <w:name w:val="HTML Sample"/>
    <w:basedOn w:val="9"/>
    <w:uiPriority w:val="0"/>
    <w:rPr>
      <w:rFonts w:hint="default" w:ascii="monospace" w:hAnsi="monospace" w:eastAsia="monospace" w:cs="monospace"/>
    </w:rPr>
  </w:style>
  <w:style w:type="paragraph" w:customStyle="1" w:styleId="20">
    <w:name w:val="一级标题"/>
    <w:basedOn w:val="1"/>
    <w:autoRedefine/>
    <w:qFormat/>
    <w:uiPriority w:val="0"/>
    <w:pPr>
      <w:spacing w:before="120" w:after="120" w:line="360" w:lineRule="auto"/>
      <w:jc w:val="center"/>
    </w:pPr>
    <w:rPr>
      <w:rFonts w:ascii="Calibri" w:hAnsi="Calibri" w:eastAsia="仿宋"/>
      <w:b/>
      <w:sz w:val="36"/>
    </w:rPr>
  </w:style>
  <w:style w:type="paragraph" w:customStyle="1" w:styleId="21">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2024-05-13T06:25:29Z</dcterms:created>
  <dc:creator>86131</dc:creator>
  <cp:lastModifiedBy>狼宝很&amp;Sherry</cp:lastModifiedBy>
  <dcterms:modified xsi:type="dcterms:W3CDTF">2024-05-13T06:35:32Z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63234C5665204A2EBE9AEF82601B9605_12</vt:lpwstr>
  </property>
</Properties>
</file>