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18CB9">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val="en-US" w:eastAsia="zh-CN" w:bidi="ar-SA"/>
        </w:rPr>
        <w:t>附件</w:t>
      </w:r>
    </w:p>
    <w:p w14:paraId="7297E9C4">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b w:val="0"/>
          <w:bCs w:val="0"/>
          <w:color w:val="auto"/>
          <w:sz w:val="36"/>
          <w:szCs w:val="36"/>
          <w:highlight w:val="none"/>
          <w:lang w:val="en-US" w:eastAsia="zh-CN" w:bidi="ar-SA"/>
        </w:rPr>
      </w:pPr>
      <w:r>
        <w:rPr>
          <w:rFonts w:hint="eastAsia" w:ascii="方正小标宋简体" w:hAnsi="方正小标宋简体" w:eastAsia="方正小标宋简体" w:cs="方正小标宋简体"/>
          <w:b w:val="0"/>
          <w:bCs w:val="0"/>
          <w:color w:val="auto"/>
          <w:sz w:val="36"/>
          <w:szCs w:val="36"/>
          <w:highlight w:val="none"/>
          <w:lang w:val="en-US" w:eastAsia="zh-CN" w:bidi="ar-SA"/>
        </w:rPr>
        <w:t>黑龙江省公共资源交易平台中标项目负责人（总监理</w:t>
      </w:r>
    </w:p>
    <w:p w14:paraId="6B3490C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简体" w:hAnsi="方正小标宋简体" w:eastAsia="方正小标宋简体" w:cs="方正小标宋简体"/>
          <w:b w:val="0"/>
          <w:bCs w:val="0"/>
          <w:color w:val="auto"/>
          <w:sz w:val="36"/>
          <w:szCs w:val="36"/>
          <w:highlight w:val="none"/>
          <w:lang w:val="en-US" w:eastAsia="zh-CN" w:bidi="ar-SA"/>
        </w:rPr>
        <w:t>工程师）锁定变更及解锁流程操作手册</w:t>
      </w:r>
    </w:p>
    <w:p w14:paraId="7AAFC95C">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bidi="ar-SA"/>
        </w:rPr>
      </w:pPr>
    </w:p>
    <w:p w14:paraId="5FE8E877">
      <w:pPr>
        <w:pStyle w:val="2"/>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概述</w:t>
      </w:r>
    </w:p>
    <w:p w14:paraId="3257DDDD">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本手册旨在指导招标人、招标代理、投标单位人员操作项目负责人（总监理工程师）锁定变更及解锁流程，确保项目负责人（总监理工程师）的锁定、变更和解锁过程符合规定，保障项目的顺利进行。</w:t>
      </w:r>
    </w:p>
    <w:p w14:paraId="3FE1AB47">
      <w:pPr>
        <w:pStyle w:val="2"/>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cs="黑体"/>
          <w:b w:val="0"/>
          <w:bCs/>
          <w:color w:val="auto"/>
          <w:sz w:val="32"/>
          <w:szCs w:val="32"/>
          <w:highlight w:val="none"/>
          <w:lang w:val="en-US" w:eastAsia="zh-CN"/>
        </w:rPr>
        <w:t>操作流程</w:t>
      </w:r>
      <w:r>
        <w:rPr>
          <w:rFonts w:hint="eastAsia" w:ascii="黑体" w:hAnsi="黑体" w:eastAsia="黑体" w:cs="黑体"/>
          <w:b w:val="0"/>
          <w:bCs/>
          <w:color w:val="auto"/>
          <w:sz w:val="32"/>
          <w:szCs w:val="32"/>
          <w:highlight w:val="none"/>
          <w:lang w:val="en-US" w:eastAsia="zh-CN"/>
        </w:rPr>
        <w:t>说明</w:t>
      </w:r>
    </w:p>
    <w:p w14:paraId="565AE7D3">
      <w:pPr>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选择项目负责人（总监理工程师）参与投标。投标人应该在本单位已经申报并录入</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的主体信息库里，选择本单位项目负责人（总监理工程师）参与投标。对投标人选择的人选，</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u w:val="none"/>
          <w:lang w:val="en-US" w:eastAsia="zh-CN"/>
        </w:rPr>
        <w:t>会到自有的</w:t>
      </w:r>
      <w:r>
        <w:rPr>
          <w:rFonts w:hint="eastAsia" w:ascii="仿宋_GB2312" w:hAnsi="仿宋_GB2312" w:eastAsia="仿宋_GB2312" w:cs="仿宋_GB2312"/>
          <w:color w:val="auto"/>
          <w:sz w:val="32"/>
          <w:szCs w:val="32"/>
          <w:highlight w:val="none"/>
          <w:lang w:val="en-US" w:eastAsia="zh-CN"/>
        </w:rPr>
        <w:t>主体信息库以及与</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实现项目负责人（总监理工程师）管理信息共享的其他部门业务系统（比如：省住建厅工程项目承发包管理系统）里进行</w:t>
      </w:r>
      <w:r>
        <w:rPr>
          <w:rFonts w:hint="eastAsia" w:ascii="仿宋_GB2312" w:hAnsi="仿宋_GB2312" w:eastAsia="仿宋_GB2312" w:cs="仿宋_GB2312"/>
          <w:color w:val="auto"/>
          <w:sz w:val="32"/>
          <w:szCs w:val="32"/>
          <w:highlight w:val="none"/>
          <w:u w:val="none"/>
          <w:lang w:val="en-US" w:eastAsia="zh-CN"/>
        </w:rPr>
        <w:t>校验。如果拟选择项目负责人</w:t>
      </w:r>
      <w:r>
        <w:rPr>
          <w:rFonts w:hint="eastAsia" w:ascii="仿宋_GB2312" w:hAnsi="仿宋_GB2312" w:eastAsia="仿宋_GB2312" w:cs="仿宋_GB2312"/>
          <w:color w:val="auto"/>
          <w:sz w:val="32"/>
          <w:szCs w:val="32"/>
          <w:highlight w:val="none"/>
          <w:lang w:val="en-US" w:eastAsia="zh-CN"/>
        </w:rPr>
        <w:t>（总监理工程师）因有在建项目已被</w:t>
      </w:r>
      <w:r>
        <w:rPr>
          <w:rFonts w:hint="eastAsia" w:ascii="仿宋_GB2312" w:hAnsi="仿宋_GB2312" w:eastAsia="仿宋_GB2312" w:cs="仿宋_GB2312"/>
          <w:color w:val="auto"/>
          <w:sz w:val="32"/>
          <w:szCs w:val="32"/>
          <w:highlight w:val="none"/>
          <w:u w:val="none"/>
          <w:lang w:val="en-US" w:eastAsia="zh-CN"/>
        </w:rPr>
        <w:t>锁定</w:t>
      </w:r>
      <w:r>
        <w:rPr>
          <w:rFonts w:hint="eastAsia" w:ascii="仿宋_GB2312" w:hAnsi="仿宋_GB2312" w:eastAsia="仿宋_GB2312" w:cs="仿宋_GB2312"/>
          <w:color w:val="auto"/>
          <w:sz w:val="32"/>
          <w:szCs w:val="32"/>
          <w:highlight w:val="none"/>
          <w:lang w:val="en-US" w:eastAsia="zh-CN"/>
        </w:rPr>
        <w:t>，则该人选无法被选择参与投标。</w:t>
      </w:r>
    </w:p>
    <w:p w14:paraId="6EF65879">
      <w:pPr>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中标项目负责人（总监理工程师）的锁定。</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u w:val="none"/>
          <w:lang w:val="en-US" w:eastAsia="zh-CN"/>
        </w:rPr>
        <w:t>在</w:t>
      </w:r>
      <w:r>
        <w:rPr>
          <w:rFonts w:hint="eastAsia" w:ascii="Times New Roman" w:hAnsi="Times New Roman" w:eastAsia="仿宋_GB2312" w:cs="Times New Roman"/>
          <w:color w:val="auto"/>
          <w:sz w:val="32"/>
          <w:szCs w:val="32"/>
          <w:highlight w:val="none"/>
          <w:lang w:bidi="ar-SA"/>
        </w:rPr>
        <w:t>中标</w:t>
      </w:r>
      <w:r>
        <w:rPr>
          <w:rFonts w:hint="eastAsia" w:ascii="Times New Roman" w:hAnsi="Times New Roman" w:eastAsia="仿宋_GB2312" w:cs="Times New Roman"/>
          <w:color w:val="auto"/>
          <w:sz w:val="32"/>
          <w:szCs w:val="32"/>
          <w:highlight w:val="none"/>
          <w:lang w:val="en-US" w:eastAsia="zh-CN" w:bidi="ar-SA"/>
        </w:rPr>
        <w:t>结果</w:t>
      </w:r>
      <w:r>
        <w:rPr>
          <w:rFonts w:hint="eastAsia" w:ascii="Times New Roman" w:hAnsi="Times New Roman" w:eastAsia="仿宋_GB2312" w:cs="Times New Roman"/>
          <w:color w:val="auto"/>
          <w:sz w:val="32"/>
          <w:szCs w:val="32"/>
          <w:highlight w:val="none"/>
          <w:lang w:bidi="ar-SA"/>
        </w:rPr>
        <w:t>公示</w:t>
      </w:r>
      <w:r>
        <w:rPr>
          <w:rFonts w:hint="eastAsia" w:ascii="Times New Roman" w:hAnsi="Times New Roman" w:eastAsia="仿宋_GB2312" w:cs="Times New Roman"/>
          <w:color w:val="auto"/>
          <w:sz w:val="32"/>
          <w:szCs w:val="32"/>
          <w:highlight w:val="none"/>
          <w:lang w:eastAsia="zh-CN" w:bidi="ar-SA"/>
        </w:rPr>
        <w:t>（</w:t>
      </w:r>
      <w:r>
        <w:rPr>
          <w:rFonts w:hint="eastAsia" w:ascii="Times New Roman" w:hAnsi="Times New Roman" w:eastAsia="仿宋_GB2312" w:cs="Times New Roman"/>
          <w:color w:val="auto"/>
          <w:sz w:val="32"/>
          <w:szCs w:val="32"/>
          <w:highlight w:val="none"/>
          <w:lang w:val="en-US" w:eastAsia="zh-CN" w:bidi="ar-SA"/>
        </w:rPr>
        <w:t>定标结果公示</w:t>
      </w:r>
      <w:r>
        <w:rPr>
          <w:rFonts w:hint="eastAsia" w:ascii="Times New Roman" w:hAnsi="Times New Roman" w:eastAsia="仿宋_GB2312" w:cs="Times New Roman"/>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发布</w:t>
      </w:r>
      <w:r>
        <w:rPr>
          <w:rFonts w:hint="eastAsia" w:ascii="仿宋_GB2312" w:hAnsi="仿宋_GB2312" w:eastAsia="仿宋_GB2312" w:cs="仿宋_GB2312"/>
          <w:color w:val="auto"/>
          <w:sz w:val="32"/>
          <w:szCs w:val="32"/>
          <w:highlight w:val="none"/>
          <w:u w:val="none"/>
          <w:lang w:val="en-US" w:eastAsia="zh-CN"/>
        </w:rPr>
        <w:t>的同时，将对公示的项目负责人（总监理工程师）进行锁定。其中，如果</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u w:val="none"/>
          <w:lang w:val="en-US" w:eastAsia="zh-CN"/>
        </w:rPr>
        <w:t>通过自动校验（程序同上）发现拟发公示里明确的项目负责人（总监理工程师）已被锁定，则该人选无法被选择。</w:t>
      </w:r>
    </w:p>
    <w:p w14:paraId="64F0DC68">
      <w:pPr>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项目负责人（总监理工程师）变更。由</w:t>
      </w:r>
      <w:r>
        <w:rPr>
          <w:rFonts w:hint="eastAsia" w:ascii="仿宋_GB2312" w:hAnsi="仿宋_GB2312" w:eastAsia="仿宋_GB2312" w:cs="仿宋_GB2312"/>
          <w:b w:val="0"/>
          <w:bCs w:val="0"/>
          <w:color w:val="auto"/>
          <w:sz w:val="32"/>
          <w:szCs w:val="32"/>
          <w:highlight w:val="none"/>
          <w:lang w:val="en-US" w:eastAsia="zh-CN"/>
        </w:rPr>
        <w:t>中标单位</w:t>
      </w:r>
      <w:r>
        <w:rPr>
          <w:rFonts w:hint="eastAsia" w:ascii="仿宋_GB2312" w:hAnsi="仿宋_GB2312" w:eastAsia="仿宋_GB2312" w:cs="仿宋_GB2312"/>
          <w:color w:val="auto"/>
          <w:sz w:val="32"/>
          <w:szCs w:val="32"/>
          <w:highlight w:val="none"/>
          <w:lang w:val="en-US" w:eastAsia="zh-CN"/>
        </w:rPr>
        <w:t>发起变更流程，通过</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设置的“项目流程-项目负责人（总监理工程师）变更模块”操作填报变更原因等，经招标人同意后，</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自动完成变更。同时，原项目负责人（总监理工程师）解锁，变更后的项目负责人（总监理工程师）自动锁定。其中，变更时所使用的新项目负责人（总监理工程师）需要是校验后未锁定的状态。</w:t>
      </w:r>
    </w:p>
    <w:p w14:paraId="4701F454">
      <w:pPr>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项目负责人（总监理工程师）解锁。项目竣（完）工后，由</w:t>
      </w:r>
      <w:r>
        <w:rPr>
          <w:rFonts w:hint="eastAsia" w:ascii="仿宋_GB2312" w:hAnsi="仿宋_GB2312" w:eastAsia="仿宋_GB2312" w:cs="仿宋_GB2312"/>
          <w:b w:val="0"/>
          <w:bCs w:val="0"/>
          <w:color w:val="auto"/>
          <w:sz w:val="32"/>
          <w:szCs w:val="32"/>
          <w:highlight w:val="none"/>
          <w:lang w:val="en-US" w:eastAsia="zh-CN"/>
        </w:rPr>
        <w:t>中标单位</w:t>
      </w:r>
      <w:r>
        <w:rPr>
          <w:rFonts w:hint="eastAsia" w:ascii="仿宋_GB2312" w:hAnsi="仿宋_GB2312" w:eastAsia="仿宋_GB2312" w:cs="仿宋_GB2312"/>
          <w:color w:val="auto"/>
          <w:sz w:val="32"/>
          <w:szCs w:val="32"/>
          <w:highlight w:val="none"/>
          <w:lang w:val="en-US" w:eastAsia="zh-CN"/>
        </w:rPr>
        <w:t>发起解锁流程，通过</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设置的“项目流程-项目负责人（总监理工程师）解锁</w:t>
      </w:r>
      <w:r>
        <w:rPr>
          <w:rFonts w:hint="eastAsia" w:ascii="仿宋_GB2312" w:hAnsi="仿宋_GB2312" w:eastAsia="仿宋_GB2312" w:cs="仿宋_GB2312"/>
          <w:color w:val="auto"/>
          <w:sz w:val="32"/>
          <w:szCs w:val="32"/>
          <w:highlight w:val="none"/>
          <w:u w:val="none"/>
          <w:lang w:val="en-US" w:eastAsia="zh-CN"/>
        </w:rPr>
        <w:t>模块</w:t>
      </w:r>
      <w:r>
        <w:rPr>
          <w:rFonts w:hint="eastAsia" w:ascii="仿宋_GB2312" w:hAnsi="仿宋_GB2312" w:eastAsia="仿宋_GB2312" w:cs="仿宋_GB2312"/>
          <w:color w:val="auto"/>
          <w:sz w:val="32"/>
          <w:szCs w:val="32"/>
          <w:highlight w:val="none"/>
          <w:lang w:val="en-US" w:eastAsia="zh-CN"/>
        </w:rPr>
        <w:t>”上传竣（完）工验收报告等材料。经招标人确认后，</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对其自动解锁。其中，</w:t>
      </w:r>
      <w:r>
        <w:rPr>
          <w:rFonts w:hint="eastAsia" w:ascii="Times New Roman" w:hAnsi="Times New Roman" w:eastAsia="仿宋_GB2312" w:cs="Times New Roman"/>
          <w:color w:val="auto"/>
          <w:sz w:val="32"/>
          <w:szCs w:val="32"/>
          <w:highlight w:val="none"/>
          <w:lang w:val="en-US" w:eastAsia="zh-CN" w:bidi="ar-SA"/>
        </w:rPr>
        <w:t>按照相关管理规定，</w:t>
      </w:r>
      <w:r>
        <w:rPr>
          <w:rFonts w:hint="eastAsia" w:ascii="仿宋_GB2312" w:hAnsi="仿宋_GB2312" w:eastAsia="仿宋_GB2312" w:cs="仿宋_GB2312"/>
          <w:b w:val="0"/>
          <w:bCs w:val="0"/>
          <w:color w:val="auto"/>
          <w:sz w:val="32"/>
          <w:szCs w:val="32"/>
          <w:highlight w:val="none"/>
          <w:lang w:eastAsia="zh-CN" w:bidi="ar-SA"/>
        </w:rPr>
        <w:t>非因施工（监理）单位原因</w:t>
      </w:r>
      <w:r>
        <w:rPr>
          <w:rFonts w:hint="eastAsia" w:ascii="仿宋_GB2312" w:hAnsi="仿宋_GB2312" w:eastAsia="仿宋_GB2312" w:cs="仿宋_GB2312"/>
          <w:b w:val="0"/>
          <w:bCs w:val="0"/>
          <w:color w:val="auto"/>
          <w:sz w:val="32"/>
          <w:szCs w:val="32"/>
          <w:highlight w:val="none"/>
          <w:lang w:val="en-US" w:eastAsia="zh-CN" w:bidi="ar-SA"/>
        </w:rPr>
        <w:t>需要解锁项目负责人</w:t>
      </w:r>
      <w:r>
        <w:rPr>
          <w:rFonts w:hint="eastAsia" w:ascii="Times New Roman" w:hAnsi="Times New Roman" w:eastAsia="仿宋_GB2312" w:cs="Times New Roman"/>
          <w:color w:val="auto"/>
          <w:sz w:val="32"/>
          <w:szCs w:val="32"/>
          <w:highlight w:val="none"/>
          <w:lang w:eastAsia="zh-CN" w:bidi="ar-SA"/>
        </w:rPr>
        <w:t>（总监理工程师）</w:t>
      </w:r>
      <w:r>
        <w:rPr>
          <w:rFonts w:hint="eastAsia" w:ascii="Times New Roman" w:hAnsi="Times New Roman" w:eastAsia="仿宋_GB2312" w:cs="Times New Roman"/>
          <w:color w:val="auto"/>
          <w:sz w:val="32"/>
          <w:szCs w:val="32"/>
          <w:highlight w:val="none"/>
          <w:lang w:val="en-US" w:eastAsia="zh-CN" w:bidi="ar-SA"/>
        </w:rPr>
        <w:t>的，与招标人协商一致后办理。</w:t>
      </w:r>
    </w:p>
    <w:p w14:paraId="0474D180">
      <w:pPr>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项目总监理工程师兼任多个项目的锁定和解锁。</w:t>
      </w:r>
      <w:r>
        <w:rPr>
          <w:rFonts w:hint="eastAsia" w:ascii="仿宋_GB2312" w:hAnsi="仿宋_GB2312" w:eastAsia="仿宋_GB2312" w:cs="仿宋_GB2312"/>
          <w:color w:val="auto"/>
          <w:sz w:val="32"/>
          <w:szCs w:val="32"/>
          <w:highlight w:val="none"/>
          <w:lang w:val="en-US" w:eastAsia="zh-CN"/>
        </w:rPr>
        <w:t>已被锁定的项目总监理工程师按照国家和我省相关规定需要兼任多个项目的，经在建项目单位同意后，可通过</w:t>
      </w:r>
      <w:r>
        <w:rPr>
          <w:rFonts w:hint="eastAsia" w:ascii="Times New Roman" w:hAnsi="Times New Roman" w:eastAsia="仿宋_GB2312" w:cs="Times New Roman"/>
          <w:color w:val="auto"/>
          <w:sz w:val="32"/>
          <w:szCs w:val="32"/>
          <w:highlight w:val="none"/>
          <w:lang w:val="en-US" w:eastAsia="zh-CN" w:bidi="ar-SA"/>
        </w:rPr>
        <w:t>省</w:t>
      </w:r>
      <w:r>
        <w:rPr>
          <w:rFonts w:hint="eastAsia" w:ascii="Times New Roman" w:hAnsi="Times New Roman" w:eastAsia="仿宋_GB2312" w:cs="Times New Roman"/>
          <w:color w:val="auto"/>
          <w:sz w:val="32"/>
          <w:szCs w:val="32"/>
          <w:highlight w:val="none"/>
          <w:lang w:eastAsia="zh-CN" w:bidi="ar-SA"/>
        </w:rPr>
        <w:t>交易平台</w:t>
      </w:r>
      <w:r>
        <w:rPr>
          <w:rFonts w:hint="eastAsia" w:ascii="仿宋_GB2312" w:hAnsi="仿宋_GB2312" w:eastAsia="仿宋_GB2312" w:cs="仿宋_GB2312"/>
          <w:color w:val="auto"/>
          <w:sz w:val="32"/>
          <w:szCs w:val="32"/>
          <w:highlight w:val="none"/>
          <w:lang w:val="en-US" w:eastAsia="zh-CN"/>
        </w:rPr>
        <w:t>设置的“项目流程-项目总监理工程师临时解锁</w:t>
      </w:r>
      <w:r>
        <w:rPr>
          <w:rFonts w:hint="eastAsia" w:ascii="仿宋_GB2312" w:hAnsi="仿宋_GB2312" w:eastAsia="仿宋_GB2312" w:cs="仿宋_GB2312"/>
          <w:color w:val="auto"/>
          <w:sz w:val="32"/>
          <w:szCs w:val="32"/>
          <w:highlight w:val="none"/>
          <w:u w:val="none"/>
          <w:lang w:val="en-US" w:eastAsia="zh-CN"/>
        </w:rPr>
        <w:t>模块</w:t>
      </w:r>
      <w:r>
        <w:rPr>
          <w:rFonts w:hint="eastAsia" w:ascii="仿宋_GB2312" w:hAnsi="仿宋_GB2312" w:eastAsia="仿宋_GB2312" w:cs="仿宋_GB2312"/>
          <w:color w:val="auto"/>
          <w:sz w:val="32"/>
          <w:szCs w:val="32"/>
          <w:highlight w:val="none"/>
          <w:lang w:val="en-US" w:eastAsia="zh-CN"/>
        </w:rPr>
        <w:t>”办理临时解锁后参与新项目投标。中标后将标记已被两个项目锁定，以此类推被锁定最多不得超过3个。兼任的项目竣（完）工后，需按解锁流程逐一办理解锁。</w:t>
      </w:r>
    </w:p>
    <w:p w14:paraId="5CBCE389">
      <w:bookmarkStart w:id="0" w:name="_GoBack"/>
      <w:bookmarkEnd w:id="0"/>
    </w:p>
    <w:sectPr>
      <w:footerReference r:id="rId3" w:type="default"/>
      <w:pgSz w:w="11906" w:h="16838"/>
      <w:pgMar w:top="2041" w:right="1474" w:bottom="1587" w:left="1474" w:header="851" w:footer="1191" w:gutter="0"/>
      <w:pgNumType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E14A65-271D-41CD-9683-F467DC4A9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9991040-5745-4CF2-9100-280F195ACA55}"/>
  </w:font>
  <w:font w:name="方正小标宋简体">
    <w:panose1 w:val="02000000000000000000"/>
    <w:charset w:val="86"/>
    <w:family w:val="auto"/>
    <w:pitch w:val="default"/>
    <w:sig w:usb0="00000001" w:usb1="08000000" w:usb2="00000000" w:usb3="00000000" w:csb0="00040000" w:csb1="00000000"/>
    <w:embedRegular r:id="rId3" w:fontKey="{80F375B1-3551-4876-A8E9-62AFF06B7652}"/>
  </w:font>
  <w:font w:name="仿宋_GB2312">
    <w:altName w:val="仿宋"/>
    <w:panose1 w:val="02010609030101010101"/>
    <w:charset w:val="86"/>
    <w:family w:val="auto"/>
    <w:pitch w:val="default"/>
    <w:sig w:usb0="00000000" w:usb1="00000000" w:usb2="00000000" w:usb3="00000000" w:csb0="00040000" w:csb1="00000000"/>
    <w:embedRegular r:id="rId4" w:fontKey="{C8EDE005-776E-4784-B249-F7167C3B671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E863">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1800" cy="147955"/>
              <wp:effectExtent l="0" t="0" r="0" b="0"/>
              <wp:wrapNone/>
              <wp:docPr id="1" name="矩形 1"/>
              <wp:cNvGraphicFramePr/>
              <a:graphic xmlns:a="http://schemas.openxmlformats.org/drawingml/2006/main">
                <a:graphicData uri="http://schemas.microsoft.com/office/word/2010/wordprocessingShape">
                  <wps:wsp>
                    <wps:cNvSpPr/>
                    <wps:spPr>
                      <a:xfrm>
                        <a:off x="0" y="0"/>
                        <a:ext cx="431800" cy="147955"/>
                      </a:xfrm>
                      <a:prstGeom prst="rect">
                        <a:avLst/>
                      </a:prstGeom>
                      <a:noFill/>
                      <a:ln>
                        <a:noFill/>
                      </a:ln>
                    </wps:spPr>
                    <wps:txbx>
                      <w:txbxContent>
                        <w:p w14:paraId="5C44DE7C">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bidi="ar-SA"/>
                            </w:rPr>
                            <w:fldChar w:fldCharType="begin"/>
                          </w:r>
                          <w:r>
                            <w:rPr>
                              <w:rFonts w:hint="eastAsia" w:ascii="宋体" w:hAnsi="宋体" w:eastAsia="宋体" w:cs="宋体"/>
                              <w:sz w:val="28"/>
                              <w:szCs w:val="28"/>
                              <w:lang w:eastAsia="zh-CN" w:bidi="ar-SA"/>
                            </w:rPr>
                            <w:instrText xml:space="preserve"> PAGE  \* MERGEFORMAT </w:instrText>
                          </w:r>
                          <w:r>
                            <w:rPr>
                              <w:rFonts w:hint="eastAsia" w:ascii="宋体" w:hAnsi="宋体" w:eastAsia="宋体" w:cs="宋体"/>
                              <w:sz w:val="28"/>
                              <w:szCs w:val="28"/>
                              <w:lang w:eastAsia="zh-CN" w:bidi="ar-SA"/>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bidi="ar-SA"/>
                            </w:rPr>
                            <w:fldChar w:fldCharType="end"/>
                          </w:r>
                          <w:r>
                            <w:rPr>
                              <w:rFonts w:hint="eastAsia" w:ascii="宋体" w:hAnsi="宋体" w:eastAsia="宋体" w:cs="宋体"/>
                              <w:sz w:val="28"/>
                              <w:szCs w:val="28"/>
                              <w:lang w:eastAsia="zh-CN" w:bidi="ar-SA"/>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1.65pt;width:34pt;mso-position-horizontal:center;mso-position-horizontal-relative:margin;mso-wrap-style:none;z-index:251659264;mso-width-relative:page;mso-height-relative:page;" filled="f" stroked="f" coordsize="21600,21600" o:gfxdata="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Dt+RjRAAAAAwEAAA8AAAAAAAAAAQAgAAAAIgAAAGRycy9kb3ducmV2LnhtbFBL&#10;AQIUABQAAAAIAIdO4kCl+P1sxAEAAIoDAAAOAAAAAAAAAAEAIAAAACABAABkcnMvZTJvRG9jLnht&#10;bFBLBQYAAAAABgAGAFkBAABWBQAAAAA=&#10;">
              <v:path/>
              <v:fill on="f" focussize="0,0"/>
              <v:stroke on="f"/>
              <v:imagedata o:title=""/>
              <o:lock v:ext="edit"/>
              <v:textbox inset="0mm,0mm,0mm,0mm" style="mso-fit-shape-to-text:t;">
                <w:txbxContent>
                  <w:p w14:paraId="5C44DE7C">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bidi="ar-SA"/>
                      </w:rPr>
                      <w:fldChar w:fldCharType="begin"/>
                    </w:r>
                    <w:r>
                      <w:rPr>
                        <w:rFonts w:hint="eastAsia" w:ascii="宋体" w:hAnsi="宋体" w:eastAsia="宋体" w:cs="宋体"/>
                        <w:sz w:val="28"/>
                        <w:szCs w:val="28"/>
                        <w:lang w:eastAsia="zh-CN" w:bidi="ar-SA"/>
                      </w:rPr>
                      <w:instrText xml:space="preserve"> PAGE  \* MERGEFORMAT </w:instrText>
                    </w:r>
                    <w:r>
                      <w:rPr>
                        <w:rFonts w:hint="eastAsia" w:ascii="宋体" w:hAnsi="宋体" w:eastAsia="宋体" w:cs="宋体"/>
                        <w:sz w:val="28"/>
                        <w:szCs w:val="28"/>
                        <w:lang w:eastAsia="zh-CN" w:bidi="ar-SA"/>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bidi="ar-SA"/>
                      </w:rPr>
                      <w:fldChar w:fldCharType="end"/>
                    </w:r>
                    <w:r>
                      <w:rPr>
                        <w:rFonts w:hint="eastAsia" w:ascii="宋体" w:hAnsi="宋体" w:eastAsia="宋体" w:cs="宋体"/>
                        <w:sz w:val="28"/>
                        <w:szCs w:val="28"/>
                        <w:lang w:eastAsia="zh-CN" w:bidi="ar-SA"/>
                      </w:rPr>
                      <w:t xml:space="preserve"> </w:t>
                    </w:r>
                    <w:r>
                      <w:rPr>
                        <w:rFonts w:hint="eastAsia" w:ascii="宋体" w:hAnsi="宋体" w:eastAsia="宋体" w:cs="宋体"/>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D071D"/>
    <w:multiLevelType w:val="singleLevel"/>
    <w:tmpl w:val="8E0D071D"/>
    <w:lvl w:ilvl="0" w:tentative="0">
      <w:start w:val="1"/>
      <w:numFmt w:val="chineseCounting"/>
      <w:suff w:val="nothing"/>
      <w:lvlText w:val="%1、"/>
      <w:lvlJc w:val="left"/>
      <w:rPr>
        <w:rFonts w:hint="eastAsia"/>
      </w:rPr>
    </w:lvl>
  </w:abstractNum>
  <w:abstractNum w:abstractNumId="1">
    <w:nsid w:val="DCD4CF37"/>
    <w:multiLevelType w:val="singleLevel"/>
    <w:tmpl w:val="DCD4CF37"/>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9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2"/>
    <w:next w:val="1"/>
    <w:qFormat/>
    <w:uiPriority w:val="0"/>
    <w:pPr>
      <w:keepNext/>
      <w:keepLines/>
      <w:widowControl w:val="0"/>
      <w:spacing w:before="260" w:after="260" w:line="415"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2025-03-03T06:42:40Z</dcterms:created>
  <dc:creator>purpl</dc:creator>
  <cp:lastModifiedBy>l</cp:lastModifiedBy>
  <dcterms:modified xsi:type="dcterms:W3CDTF">2025-03-03T06:42:42Z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eyJoZGlkIjoiZmE3YTgwNjE1OWExMGU2Y2E4MGYzODhiNWJiMzEwMDIiLCJ1c2VySWQiOiIyODYyMzM0NjMifQ==</vt:lpwstr>
  </property>
  <property fmtid="{D5CDD505-2E9C-101B-9397-08002B2CF9AE}" pid="4" name="ICV">
    <vt:lpwstr>A840029488FA49DE9C61A5B0402CB1A7_12</vt:lpwstr>
  </property>
</Properties>
</file>