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1FA321">
      <w:pPr>
        <w:jc w:val="center"/>
        <w:rPr>
          <w:rFonts w:hint="eastAsia" w:ascii="宋体" w:hAnsi="宋体" w:cs="宋体"/>
          <w:b/>
          <w:bCs/>
          <w:color w:val="auto"/>
          <w:sz w:val="44"/>
          <w:szCs w:val="44"/>
          <w:highlight w:val="none"/>
          <w:lang w:eastAsia="zh-CN"/>
        </w:rPr>
      </w:pPr>
    </w:p>
    <w:p w14:paraId="38CF7860">
      <w:pPr>
        <w:jc w:val="center"/>
        <w:rPr>
          <w:rFonts w:hint="eastAsia" w:ascii="宋体" w:hAnsi="宋体" w:cs="宋体"/>
          <w:b/>
          <w:bCs/>
          <w:color w:val="auto"/>
          <w:sz w:val="44"/>
          <w:szCs w:val="44"/>
          <w:highlight w:val="none"/>
          <w:lang w:eastAsia="zh-CN"/>
        </w:rPr>
      </w:pPr>
    </w:p>
    <w:p w14:paraId="2C429E35">
      <w:pPr>
        <w:pStyle w:val="57"/>
        <w:rPr>
          <w:rFonts w:hint="eastAsia"/>
          <w:lang w:eastAsia="zh-CN"/>
        </w:rPr>
      </w:pPr>
    </w:p>
    <w:p w14:paraId="79F64D6F">
      <w:pPr>
        <w:adjustRightInd w:val="0"/>
        <w:snapToGrid w:val="0"/>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平房区新华村(三家子屯)城中村改造项目回迁安置工程项目施工(第一阶段)-电梯采购及安装</w:t>
      </w:r>
    </w:p>
    <w:p w14:paraId="1D95C9C5">
      <w:pPr>
        <w:pStyle w:val="3"/>
        <w:rPr>
          <w:rFonts w:hint="eastAsia"/>
          <w:highlight w:val="none"/>
          <w:lang w:eastAsia="zh-CN"/>
        </w:rPr>
      </w:pPr>
    </w:p>
    <w:p w14:paraId="78AC869D">
      <w:pPr>
        <w:rPr>
          <w:rFonts w:hint="eastAsia"/>
          <w:lang w:eastAsia="zh-CN"/>
        </w:rPr>
      </w:pPr>
    </w:p>
    <w:p w14:paraId="0828C10E">
      <w:pPr>
        <w:adjustRightInd w:val="0"/>
        <w:snapToGrid w:val="0"/>
        <w:spacing w:line="360" w:lineRule="auto"/>
        <w:ind w:left="0" w:leftChars="0" w:firstLine="2528" w:firstLineChars="366"/>
        <w:jc w:val="both"/>
        <w:rPr>
          <w:rFonts w:ascii="宋体" w:hAnsi="宋体"/>
          <w:b/>
          <w:color w:val="auto"/>
          <w:spacing w:val="-16"/>
          <w:sz w:val="72"/>
          <w:szCs w:val="72"/>
          <w:highlight w:val="none"/>
        </w:rPr>
      </w:pPr>
      <w:r>
        <w:rPr>
          <w:rFonts w:hint="eastAsia" w:ascii="宋体" w:hAnsi="宋体"/>
          <w:b/>
          <w:color w:val="auto"/>
          <w:spacing w:val="-16"/>
          <w:sz w:val="72"/>
          <w:szCs w:val="72"/>
          <w:highlight w:val="none"/>
        </w:rPr>
        <w:t>招 标 文 件</w:t>
      </w:r>
    </w:p>
    <w:p w14:paraId="43854659">
      <w:pPr>
        <w:rPr>
          <w:rFonts w:hint="eastAsia"/>
          <w:color w:val="auto"/>
          <w:highlight w:val="none"/>
          <w:lang w:val="en-US" w:eastAsia="zh-CN"/>
        </w:rPr>
      </w:pPr>
    </w:p>
    <w:p w14:paraId="6A0CFD77">
      <w:pPr>
        <w:pStyle w:val="3"/>
        <w:rPr>
          <w:highlight w:val="none"/>
        </w:rPr>
      </w:pPr>
    </w:p>
    <w:p w14:paraId="44F54C74">
      <w:pPr>
        <w:rPr>
          <w:color w:val="auto"/>
          <w:highlight w:val="none"/>
        </w:rPr>
      </w:pPr>
    </w:p>
    <w:p w14:paraId="612F9501">
      <w:pPr>
        <w:rPr>
          <w:color w:val="auto"/>
          <w:highlight w:val="none"/>
        </w:rPr>
      </w:pPr>
    </w:p>
    <w:p w14:paraId="5F468855">
      <w:pPr>
        <w:widowControl/>
        <w:adjustRightInd w:val="0"/>
        <w:snapToGrid w:val="0"/>
        <w:spacing w:line="360" w:lineRule="auto"/>
        <w:jc w:val="left"/>
        <w:rPr>
          <w:rFonts w:hint="default" w:ascii="宋体" w:hAnsi="宋体"/>
          <w:b/>
          <w:color w:val="auto"/>
          <w:sz w:val="32"/>
          <w:szCs w:val="32"/>
          <w:highlight w:val="none"/>
          <w:lang w:val="en-US" w:eastAsia="zh-CN"/>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平房区新华村(三家子屯)城中村改造项目回迁安置工程项目施工(第一阶段)-电梯采购及安装</w:t>
      </w:r>
    </w:p>
    <w:p w14:paraId="55C16ECE">
      <w:pPr>
        <w:widowControl/>
        <w:adjustRightInd w:val="0"/>
        <w:snapToGrid w:val="0"/>
        <w:spacing w:line="360" w:lineRule="auto"/>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val="en-US" w:eastAsia="zh-CN"/>
        </w:rPr>
        <w:t>项目</w:t>
      </w:r>
      <w:r>
        <w:rPr>
          <w:rFonts w:hint="eastAsia" w:ascii="宋体" w:hAnsi="宋体"/>
          <w:b/>
          <w:color w:val="auto"/>
          <w:sz w:val="32"/>
          <w:szCs w:val="32"/>
          <w:highlight w:val="none"/>
        </w:rPr>
        <w:t>编号：</w:t>
      </w:r>
      <w:r>
        <w:rPr>
          <w:rFonts w:hint="eastAsia" w:ascii="宋体" w:hAnsi="宋体"/>
          <w:b/>
          <w:color w:val="auto"/>
          <w:sz w:val="32"/>
          <w:szCs w:val="32"/>
          <w:highlight w:val="none"/>
          <w:lang w:eastAsia="zh-CN"/>
        </w:rPr>
        <w:t>哈产委采﹝2026﹞第0219号</w:t>
      </w:r>
    </w:p>
    <w:p w14:paraId="419E3585">
      <w:pPr>
        <w:widowControl/>
        <w:adjustRightInd w:val="0"/>
        <w:snapToGrid w:val="0"/>
        <w:spacing w:line="360" w:lineRule="auto"/>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人：</w:t>
      </w:r>
      <w:r>
        <w:rPr>
          <w:rFonts w:hint="eastAsia" w:ascii="宋体" w:hAnsi="宋体"/>
          <w:b/>
          <w:color w:val="auto"/>
          <w:sz w:val="32"/>
          <w:szCs w:val="32"/>
          <w:highlight w:val="none"/>
          <w:lang w:eastAsia="zh-CN"/>
        </w:rPr>
        <w:t>哈尔滨建工建设有限公司</w:t>
      </w:r>
    </w:p>
    <w:p w14:paraId="0A3FE049">
      <w:pPr>
        <w:widowControl/>
        <w:adjustRightInd w:val="0"/>
        <w:snapToGrid w:val="0"/>
        <w:spacing w:line="360" w:lineRule="auto"/>
        <w:jc w:val="left"/>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招标代理机构：中达同舟工程咨询有限公司</w:t>
      </w:r>
    </w:p>
    <w:p w14:paraId="76E46747">
      <w:pPr>
        <w:adjustRightInd w:val="0"/>
        <w:snapToGrid w:val="0"/>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日      期：</w:t>
      </w:r>
      <w:r>
        <w:rPr>
          <w:rFonts w:hint="eastAsia" w:ascii="宋体" w:hAnsi="宋体"/>
          <w:b/>
          <w:color w:val="auto"/>
          <w:sz w:val="32"/>
          <w:szCs w:val="32"/>
          <w:highlight w:val="none"/>
          <w:lang w:eastAsia="zh-CN"/>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lang w:eastAsia="zh-CN"/>
        </w:rPr>
        <w:t>年</w:t>
      </w:r>
      <w:r>
        <w:rPr>
          <w:rFonts w:hint="eastAsia" w:ascii="宋体" w:hAnsi="宋体"/>
          <w:b/>
          <w:color w:val="auto"/>
          <w:sz w:val="32"/>
          <w:szCs w:val="32"/>
          <w:highlight w:val="none"/>
          <w:lang w:val="en-US" w:eastAsia="zh-CN"/>
        </w:rPr>
        <w:t>04</w:t>
      </w:r>
      <w:r>
        <w:rPr>
          <w:rFonts w:hint="eastAsia" w:ascii="宋体" w:hAnsi="宋体"/>
          <w:b/>
          <w:color w:val="auto"/>
          <w:sz w:val="32"/>
          <w:szCs w:val="32"/>
          <w:highlight w:val="none"/>
          <w:lang w:eastAsia="zh-CN"/>
        </w:rPr>
        <w:t>月</w:t>
      </w:r>
    </w:p>
    <w:p w14:paraId="28CFC547">
      <w:pPr>
        <w:rPr>
          <w:b/>
          <w:color w:val="auto"/>
          <w:sz w:val="52"/>
          <w:szCs w:val="52"/>
          <w:highlight w:val="none"/>
        </w:rPr>
      </w:pPr>
      <w:r>
        <w:rPr>
          <w:b/>
          <w:color w:val="auto"/>
          <w:sz w:val="52"/>
          <w:szCs w:val="52"/>
          <w:highlight w:val="none"/>
        </w:rPr>
        <w:br w:type="page"/>
      </w:r>
    </w:p>
    <w:p w14:paraId="06499463">
      <w:pPr>
        <w:spacing w:after="468" w:afterLines="150" w:line="540" w:lineRule="exact"/>
        <w:ind w:firstLine="437"/>
        <w:jc w:val="center"/>
        <w:rPr>
          <w:b/>
          <w:color w:val="auto"/>
          <w:sz w:val="52"/>
          <w:szCs w:val="52"/>
          <w:highlight w:val="none"/>
        </w:rPr>
      </w:pPr>
      <w:r>
        <w:rPr>
          <w:b/>
          <w:color w:val="auto"/>
          <w:sz w:val="52"/>
          <w:szCs w:val="52"/>
          <w:highlight w:val="none"/>
        </w:rPr>
        <w:t>目</w:t>
      </w:r>
      <w:r>
        <w:rPr>
          <w:rFonts w:hint="eastAsia"/>
          <w:b/>
          <w:color w:val="auto"/>
          <w:sz w:val="52"/>
          <w:szCs w:val="52"/>
          <w:highlight w:val="none"/>
        </w:rPr>
        <w:t xml:space="preserve"> </w:t>
      </w:r>
      <w:r>
        <w:rPr>
          <w:b/>
          <w:color w:val="auto"/>
          <w:sz w:val="52"/>
          <w:szCs w:val="52"/>
          <w:highlight w:val="none"/>
        </w:rPr>
        <w:t>录</w:t>
      </w:r>
    </w:p>
    <w:p w14:paraId="1C445EB1">
      <w:pPr>
        <w:adjustRightInd w:val="0"/>
        <w:snapToGrid w:val="0"/>
        <w:spacing w:line="380" w:lineRule="exact"/>
        <w:ind w:firstLine="437"/>
        <w:jc w:val="center"/>
        <w:rPr>
          <w:rFonts w:eastAsia="黑体"/>
          <w:color w:val="auto"/>
          <w:sz w:val="32"/>
          <w:szCs w:val="32"/>
          <w:highlight w:val="none"/>
        </w:rPr>
      </w:pPr>
      <w:r>
        <w:rPr>
          <w:rFonts w:eastAsia="黑体"/>
          <w:color w:val="auto"/>
          <w:sz w:val="32"/>
          <w:szCs w:val="32"/>
          <w:highlight w:val="none"/>
        </w:rPr>
        <w:t>第一卷</w:t>
      </w:r>
    </w:p>
    <w:p w14:paraId="4AD6BDFB">
      <w:pPr>
        <w:tabs>
          <w:tab w:val="right" w:leader="middleDot" w:pos="8190"/>
        </w:tabs>
        <w:adjustRightInd w:val="0"/>
        <w:snapToGrid w:val="0"/>
        <w:spacing w:line="380" w:lineRule="exact"/>
        <w:ind w:firstLine="420" w:firstLineChars="200"/>
        <w:rPr>
          <w:rFonts w:hint="eastAsia" w:eastAsia="黑体"/>
          <w:color w:val="auto"/>
          <w:szCs w:val="21"/>
          <w:highlight w:val="none"/>
          <w:lang w:eastAsia="zh-CN"/>
        </w:rPr>
      </w:pPr>
      <w:r>
        <w:rPr>
          <w:rFonts w:eastAsia="黑体"/>
          <w:color w:val="auto"/>
          <w:szCs w:val="21"/>
          <w:highlight w:val="none"/>
        </w:rPr>
        <w:t>第一章</w:t>
      </w:r>
      <w:r>
        <w:rPr>
          <w:rFonts w:hint="eastAsia" w:eastAsia="黑体"/>
          <w:color w:val="auto"/>
          <w:szCs w:val="21"/>
          <w:highlight w:val="none"/>
        </w:rPr>
        <w:t xml:space="preserve"> </w:t>
      </w:r>
      <w:r>
        <w:rPr>
          <w:rFonts w:eastAsia="黑体"/>
          <w:color w:val="auto"/>
          <w:szCs w:val="21"/>
          <w:highlight w:val="none"/>
        </w:rPr>
        <w:t>招标公告</w:t>
      </w:r>
      <w:r>
        <w:rPr>
          <w:rFonts w:eastAsia="黑体"/>
          <w:color w:val="auto"/>
          <w:szCs w:val="21"/>
          <w:highlight w:val="none"/>
        </w:rPr>
        <w:tab/>
      </w:r>
      <w:r>
        <w:rPr>
          <w:rFonts w:hint="eastAsia" w:eastAsia="黑体"/>
          <w:color w:val="auto"/>
          <w:szCs w:val="21"/>
          <w:highlight w:val="none"/>
          <w:lang w:val="en-US" w:eastAsia="zh-CN"/>
        </w:rPr>
        <w:t>2</w:t>
      </w:r>
    </w:p>
    <w:p w14:paraId="221FF033">
      <w:pPr>
        <w:tabs>
          <w:tab w:val="right" w:leader="middleDot" w:pos="8190"/>
        </w:tabs>
        <w:adjustRightInd w:val="0"/>
        <w:snapToGrid w:val="0"/>
        <w:spacing w:line="380" w:lineRule="exact"/>
        <w:ind w:firstLine="420" w:firstLineChars="200"/>
        <w:rPr>
          <w:rFonts w:hint="eastAsia" w:eastAsia="黑体"/>
          <w:color w:val="auto"/>
          <w:szCs w:val="21"/>
          <w:highlight w:val="none"/>
          <w:lang w:eastAsia="zh-CN"/>
        </w:rPr>
      </w:pPr>
      <w:r>
        <w:rPr>
          <w:rFonts w:eastAsia="黑体"/>
          <w:color w:val="auto"/>
          <w:szCs w:val="21"/>
          <w:highlight w:val="none"/>
        </w:rPr>
        <w:t>第二章</w:t>
      </w:r>
      <w:r>
        <w:rPr>
          <w:rFonts w:hint="eastAsia" w:eastAsia="黑体"/>
          <w:color w:val="auto"/>
          <w:szCs w:val="21"/>
          <w:highlight w:val="none"/>
        </w:rPr>
        <w:t xml:space="preserve"> </w:t>
      </w:r>
      <w:r>
        <w:rPr>
          <w:rFonts w:eastAsia="黑体"/>
          <w:color w:val="auto"/>
          <w:szCs w:val="21"/>
          <w:highlight w:val="none"/>
        </w:rPr>
        <w:t>投标人须知</w:t>
      </w:r>
      <w:r>
        <w:rPr>
          <w:rFonts w:eastAsia="黑体"/>
          <w:color w:val="auto"/>
          <w:szCs w:val="21"/>
          <w:highlight w:val="none"/>
        </w:rPr>
        <w:tab/>
      </w:r>
      <w:r>
        <w:rPr>
          <w:rFonts w:hint="eastAsia" w:eastAsia="黑体"/>
          <w:color w:val="auto"/>
          <w:szCs w:val="21"/>
          <w:highlight w:val="none"/>
          <w:lang w:val="en-US" w:eastAsia="zh-CN"/>
        </w:rPr>
        <w:t>7</w:t>
      </w:r>
    </w:p>
    <w:p w14:paraId="54838F65">
      <w:pPr>
        <w:tabs>
          <w:tab w:val="right" w:leader="middleDot" w:pos="8190"/>
        </w:tabs>
        <w:adjustRightInd w:val="0"/>
        <w:snapToGrid w:val="0"/>
        <w:spacing w:line="380" w:lineRule="exact"/>
        <w:ind w:firstLine="420" w:firstLineChars="200"/>
        <w:rPr>
          <w:rFonts w:hint="default" w:eastAsia="黑体"/>
          <w:color w:val="auto"/>
          <w:szCs w:val="21"/>
          <w:highlight w:val="none"/>
          <w:lang w:val="en-US" w:eastAsia="zh-CN"/>
        </w:rPr>
      </w:pPr>
      <w:r>
        <w:rPr>
          <w:rFonts w:eastAsia="黑体"/>
          <w:color w:val="auto"/>
          <w:szCs w:val="21"/>
          <w:highlight w:val="none"/>
        </w:rPr>
        <w:t>第</w:t>
      </w:r>
      <w:r>
        <w:rPr>
          <w:rFonts w:hint="eastAsia" w:eastAsia="黑体"/>
          <w:color w:val="auto"/>
          <w:szCs w:val="21"/>
          <w:highlight w:val="none"/>
        </w:rPr>
        <w:t>三</w:t>
      </w:r>
      <w:r>
        <w:rPr>
          <w:rFonts w:eastAsia="黑体"/>
          <w:color w:val="auto"/>
          <w:szCs w:val="21"/>
          <w:highlight w:val="none"/>
        </w:rPr>
        <w:t>章</w:t>
      </w:r>
      <w:r>
        <w:rPr>
          <w:rFonts w:hint="eastAsia" w:eastAsia="黑体"/>
          <w:color w:val="auto"/>
          <w:szCs w:val="21"/>
          <w:highlight w:val="none"/>
        </w:rPr>
        <w:t xml:space="preserve"> </w:t>
      </w:r>
      <w:r>
        <w:rPr>
          <w:rFonts w:eastAsia="黑体"/>
          <w:color w:val="auto"/>
          <w:szCs w:val="21"/>
          <w:highlight w:val="none"/>
        </w:rPr>
        <w:t>评标办法</w:t>
      </w:r>
      <w:r>
        <w:rPr>
          <w:rFonts w:eastAsia="黑体"/>
          <w:color w:val="auto"/>
          <w:szCs w:val="21"/>
          <w:highlight w:val="none"/>
        </w:rPr>
        <w:tab/>
      </w:r>
      <w:r>
        <w:rPr>
          <w:rFonts w:hint="eastAsia" w:eastAsia="黑体"/>
          <w:color w:val="auto"/>
          <w:szCs w:val="21"/>
          <w:highlight w:val="none"/>
          <w:lang w:val="en-US" w:eastAsia="zh-CN"/>
        </w:rPr>
        <w:t>31</w:t>
      </w:r>
    </w:p>
    <w:p w14:paraId="67122433">
      <w:pPr>
        <w:tabs>
          <w:tab w:val="right" w:leader="middleDot" w:pos="8190"/>
        </w:tabs>
        <w:adjustRightInd w:val="0"/>
        <w:snapToGrid w:val="0"/>
        <w:spacing w:line="380" w:lineRule="exact"/>
        <w:ind w:firstLine="420" w:firstLineChars="200"/>
        <w:rPr>
          <w:rFonts w:hint="default" w:eastAsia="宋体"/>
          <w:color w:val="auto"/>
          <w:szCs w:val="21"/>
          <w:highlight w:val="none"/>
          <w:lang w:val="en-US" w:eastAsia="zh-CN"/>
        </w:rPr>
      </w:pPr>
      <w:r>
        <w:rPr>
          <w:rFonts w:eastAsia="黑体"/>
          <w:color w:val="auto"/>
          <w:szCs w:val="21"/>
          <w:highlight w:val="none"/>
        </w:rPr>
        <w:t>第</w:t>
      </w:r>
      <w:r>
        <w:rPr>
          <w:rFonts w:hint="eastAsia" w:eastAsia="黑体"/>
          <w:color w:val="auto"/>
          <w:szCs w:val="21"/>
          <w:highlight w:val="none"/>
        </w:rPr>
        <w:t>四</w:t>
      </w:r>
      <w:r>
        <w:rPr>
          <w:rFonts w:eastAsia="黑体"/>
          <w:color w:val="auto"/>
          <w:szCs w:val="21"/>
          <w:highlight w:val="none"/>
        </w:rPr>
        <w:t>章</w:t>
      </w:r>
      <w:r>
        <w:rPr>
          <w:rFonts w:hint="eastAsia" w:eastAsia="黑体"/>
          <w:color w:val="auto"/>
          <w:szCs w:val="21"/>
          <w:highlight w:val="none"/>
        </w:rPr>
        <w:t xml:space="preserve"> </w:t>
      </w:r>
      <w:r>
        <w:rPr>
          <w:rFonts w:eastAsia="黑体"/>
          <w:color w:val="auto"/>
          <w:szCs w:val="21"/>
          <w:highlight w:val="none"/>
        </w:rPr>
        <w:t>合同条款及格式</w:t>
      </w:r>
      <w:r>
        <w:rPr>
          <w:color w:val="auto"/>
          <w:szCs w:val="21"/>
          <w:highlight w:val="none"/>
        </w:rPr>
        <w:tab/>
      </w:r>
      <w:r>
        <w:rPr>
          <w:rFonts w:hint="eastAsia"/>
          <w:color w:val="auto"/>
          <w:szCs w:val="21"/>
          <w:highlight w:val="none"/>
          <w:lang w:val="en-US" w:eastAsia="zh-CN"/>
        </w:rPr>
        <w:t>47</w:t>
      </w:r>
    </w:p>
    <w:p w14:paraId="7E658410">
      <w:pPr>
        <w:adjustRightInd w:val="0"/>
        <w:snapToGrid w:val="0"/>
        <w:spacing w:before="312" w:beforeLines="100" w:line="380" w:lineRule="exact"/>
        <w:ind w:firstLine="437"/>
        <w:jc w:val="center"/>
        <w:rPr>
          <w:rFonts w:eastAsia="黑体"/>
          <w:color w:val="auto"/>
          <w:sz w:val="32"/>
          <w:szCs w:val="32"/>
          <w:highlight w:val="none"/>
        </w:rPr>
      </w:pPr>
      <w:r>
        <w:rPr>
          <w:rFonts w:eastAsia="黑体"/>
          <w:color w:val="auto"/>
          <w:sz w:val="32"/>
          <w:szCs w:val="32"/>
          <w:highlight w:val="none"/>
        </w:rPr>
        <w:t>第二卷</w:t>
      </w:r>
    </w:p>
    <w:p w14:paraId="360D911A">
      <w:pPr>
        <w:tabs>
          <w:tab w:val="right" w:leader="middleDot" w:pos="8190"/>
        </w:tabs>
        <w:adjustRightInd w:val="0"/>
        <w:snapToGrid w:val="0"/>
        <w:spacing w:line="380" w:lineRule="exact"/>
        <w:ind w:firstLine="420" w:firstLineChars="200"/>
        <w:rPr>
          <w:rFonts w:hint="default" w:eastAsia="黑体"/>
          <w:color w:val="auto"/>
          <w:szCs w:val="21"/>
          <w:highlight w:val="none"/>
          <w:lang w:val="en-US" w:eastAsia="zh-CN"/>
        </w:rPr>
      </w:pPr>
      <w:r>
        <w:rPr>
          <w:rFonts w:eastAsia="黑体"/>
          <w:color w:val="auto"/>
          <w:szCs w:val="21"/>
          <w:highlight w:val="none"/>
        </w:rPr>
        <w:t>第</w:t>
      </w:r>
      <w:r>
        <w:rPr>
          <w:rFonts w:hint="eastAsia" w:eastAsia="黑体"/>
          <w:color w:val="auto"/>
          <w:szCs w:val="21"/>
          <w:highlight w:val="none"/>
        </w:rPr>
        <w:t>五</w:t>
      </w:r>
      <w:r>
        <w:rPr>
          <w:rFonts w:eastAsia="黑体"/>
          <w:color w:val="auto"/>
          <w:szCs w:val="21"/>
          <w:highlight w:val="none"/>
        </w:rPr>
        <w:t>章</w:t>
      </w:r>
      <w:r>
        <w:rPr>
          <w:rFonts w:hint="eastAsia" w:eastAsia="黑体"/>
          <w:color w:val="auto"/>
          <w:szCs w:val="21"/>
          <w:highlight w:val="none"/>
        </w:rPr>
        <w:t xml:space="preserve"> </w:t>
      </w:r>
      <w:r>
        <w:rPr>
          <w:rFonts w:hint="eastAsia" w:eastAsia="黑体"/>
          <w:color w:val="auto"/>
          <w:szCs w:val="21"/>
          <w:highlight w:val="none"/>
          <w:lang w:val="en-US" w:eastAsia="zh-CN"/>
        </w:rPr>
        <w:t>采购需求</w:t>
      </w:r>
      <w:r>
        <w:rPr>
          <w:rFonts w:eastAsia="黑体"/>
          <w:color w:val="auto"/>
          <w:szCs w:val="21"/>
          <w:highlight w:val="none"/>
        </w:rPr>
        <w:tab/>
      </w:r>
      <w:r>
        <w:rPr>
          <w:rFonts w:hint="eastAsia" w:eastAsia="黑体"/>
          <w:color w:val="auto"/>
          <w:szCs w:val="21"/>
          <w:highlight w:val="none"/>
          <w:lang w:val="en-US" w:eastAsia="zh-CN"/>
        </w:rPr>
        <w:t>49</w:t>
      </w:r>
    </w:p>
    <w:p w14:paraId="0A04F75D">
      <w:pPr>
        <w:adjustRightInd w:val="0"/>
        <w:snapToGrid w:val="0"/>
        <w:spacing w:before="312" w:beforeLines="100" w:line="380" w:lineRule="exact"/>
        <w:ind w:firstLine="437"/>
        <w:jc w:val="center"/>
        <w:rPr>
          <w:rFonts w:eastAsia="黑体"/>
          <w:color w:val="auto"/>
          <w:sz w:val="32"/>
          <w:szCs w:val="32"/>
          <w:highlight w:val="none"/>
        </w:rPr>
      </w:pPr>
      <w:r>
        <w:rPr>
          <w:rFonts w:eastAsia="黑体"/>
          <w:color w:val="auto"/>
          <w:sz w:val="32"/>
          <w:szCs w:val="32"/>
          <w:highlight w:val="none"/>
        </w:rPr>
        <w:t>第三卷</w:t>
      </w:r>
    </w:p>
    <w:p w14:paraId="3D32BC9F">
      <w:pPr>
        <w:tabs>
          <w:tab w:val="right" w:leader="middleDot" w:pos="8190"/>
        </w:tabs>
        <w:adjustRightInd w:val="0"/>
        <w:snapToGrid w:val="0"/>
        <w:spacing w:line="380" w:lineRule="exact"/>
        <w:ind w:firstLine="420" w:firstLineChars="200"/>
        <w:rPr>
          <w:rFonts w:hint="default" w:eastAsia="黑体"/>
          <w:color w:val="auto"/>
          <w:szCs w:val="21"/>
          <w:highlight w:val="none"/>
          <w:lang w:val="en-US" w:eastAsia="zh-CN"/>
        </w:rPr>
      </w:pPr>
      <w:r>
        <w:rPr>
          <w:rFonts w:eastAsia="黑体"/>
          <w:color w:val="auto"/>
          <w:szCs w:val="21"/>
          <w:highlight w:val="none"/>
        </w:rPr>
        <w:t>第</w:t>
      </w:r>
      <w:r>
        <w:rPr>
          <w:rFonts w:hint="eastAsia" w:eastAsia="黑体"/>
          <w:color w:val="auto"/>
          <w:szCs w:val="21"/>
          <w:highlight w:val="none"/>
        </w:rPr>
        <w:t>六</w:t>
      </w:r>
      <w:r>
        <w:rPr>
          <w:rFonts w:eastAsia="黑体"/>
          <w:color w:val="auto"/>
          <w:szCs w:val="21"/>
          <w:highlight w:val="none"/>
        </w:rPr>
        <w:t>章</w:t>
      </w:r>
      <w:r>
        <w:rPr>
          <w:rFonts w:hint="eastAsia" w:eastAsia="黑体"/>
          <w:color w:val="auto"/>
          <w:szCs w:val="21"/>
          <w:highlight w:val="none"/>
        </w:rPr>
        <w:t xml:space="preserve"> </w:t>
      </w:r>
      <w:r>
        <w:rPr>
          <w:rFonts w:eastAsia="黑体"/>
          <w:color w:val="auto"/>
          <w:szCs w:val="21"/>
          <w:highlight w:val="none"/>
        </w:rPr>
        <w:t>投标文件格式</w:t>
      </w:r>
      <w:r>
        <w:rPr>
          <w:rFonts w:eastAsia="黑体"/>
          <w:color w:val="auto"/>
          <w:szCs w:val="21"/>
          <w:highlight w:val="none"/>
        </w:rPr>
        <w:tab/>
      </w:r>
      <w:r>
        <w:rPr>
          <w:rFonts w:hint="eastAsia" w:eastAsia="黑体"/>
          <w:color w:val="auto"/>
          <w:szCs w:val="21"/>
          <w:highlight w:val="none"/>
          <w:lang w:val="en-US" w:eastAsia="zh-CN"/>
        </w:rPr>
        <w:t>55</w:t>
      </w:r>
    </w:p>
    <w:p w14:paraId="0B671613">
      <w:pPr>
        <w:pStyle w:val="43"/>
        <w:ind w:firstLine="720"/>
        <w:rPr>
          <w:rFonts w:eastAsia="黑体"/>
          <w:color w:val="auto"/>
          <w:sz w:val="72"/>
          <w:szCs w:val="72"/>
          <w:highlight w:val="none"/>
        </w:rPr>
      </w:pPr>
    </w:p>
    <w:p w14:paraId="4FAC8366">
      <w:pPr>
        <w:rPr>
          <w:rFonts w:eastAsia="黑体"/>
          <w:color w:val="auto"/>
          <w:sz w:val="72"/>
          <w:szCs w:val="72"/>
          <w:highlight w:val="none"/>
        </w:rPr>
      </w:pPr>
    </w:p>
    <w:p w14:paraId="14714DDF">
      <w:pPr>
        <w:pStyle w:val="43"/>
        <w:ind w:firstLine="720"/>
        <w:rPr>
          <w:rFonts w:eastAsia="黑体"/>
          <w:color w:val="auto"/>
          <w:sz w:val="72"/>
          <w:szCs w:val="72"/>
          <w:highlight w:val="none"/>
        </w:rPr>
      </w:pPr>
    </w:p>
    <w:p w14:paraId="61CAAFFF">
      <w:pPr>
        <w:rPr>
          <w:rFonts w:eastAsia="黑体"/>
          <w:color w:val="auto"/>
          <w:sz w:val="72"/>
          <w:szCs w:val="72"/>
          <w:highlight w:val="none"/>
        </w:rPr>
      </w:pPr>
    </w:p>
    <w:p w14:paraId="5C065B21">
      <w:pPr>
        <w:pStyle w:val="43"/>
        <w:ind w:firstLine="720"/>
        <w:rPr>
          <w:rFonts w:eastAsia="黑体"/>
          <w:color w:val="auto"/>
          <w:sz w:val="72"/>
          <w:szCs w:val="72"/>
          <w:highlight w:val="none"/>
        </w:rPr>
      </w:pPr>
    </w:p>
    <w:p w14:paraId="218987F4">
      <w:pPr>
        <w:rPr>
          <w:rFonts w:eastAsia="黑体"/>
          <w:color w:val="auto"/>
          <w:sz w:val="72"/>
          <w:szCs w:val="72"/>
          <w:highlight w:val="none"/>
        </w:rPr>
      </w:pPr>
    </w:p>
    <w:p w14:paraId="1070ED0E">
      <w:pPr>
        <w:pStyle w:val="43"/>
        <w:ind w:firstLine="720"/>
        <w:rPr>
          <w:rFonts w:eastAsia="黑体"/>
          <w:color w:val="auto"/>
          <w:sz w:val="72"/>
          <w:szCs w:val="72"/>
          <w:highlight w:val="none"/>
        </w:rPr>
      </w:pPr>
    </w:p>
    <w:p w14:paraId="3764C7FB">
      <w:pPr>
        <w:rPr>
          <w:color w:val="auto"/>
          <w:highlight w:val="none"/>
        </w:rPr>
      </w:pPr>
    </w:p>
    <w:p w14:paraId="47C3B3BA">
      <w:pPr>
        <w:rPr>
          <w:rFonts w:eastAsia="黑体"/>
          <w:color w:val="auto"/>
          <w:sz w:val="72"/>
          <w:szCs w:val="72"/>
          <w:highlight w:val="none"/>
        </w:rPr>
        <w:sectPr>
          <w:headerReference r:id="rId3" w:type="first"/>
          <w:footerReference r:id="rId6" w:type="first"/>
          <w:footerReference r:id="rId4" w:type="default"/>
          <w:footerReference r:id="rId5" w:type="even"/>
          <w:pgSz w:w="11907" w:h="16840"/>
          <w:pgMar w:top="1588" w:right="1701" w:bottom="1418" w:left="1701" w:header="851" w:footer="851" w:gutter="0"/>
          <w:pgNumType w:fmt="decimal" w:start="1"/>
          <w:cols w:space="720" w:num="1"/>
          <w:docGrid w:type="lines" w:linePitch="312" w:charSpace="0"/>
        </w:sectPr>
      </w:pPr>
    </w:p>
    <w:p w14:paraId="32236CAE">
      <w:pPr>
        <w:rPr>
          <w:rFonts w:eastAsia="黑体"/>
          <w:color w:val="auto"/>
          <w:sz w:val="72"/>
          <w:szCs w:val="72"/>
          <w:highlight w:val="none"/>
        </w:rPr>
      </w:pPr>
    </w:p>
    <w:p w14:paraId="5BD10B1C">
      <w:pPr>
        <w:jc w:val="center"/>
        <w:rPr>
          <w:rFonts w:eastAsia="黑体"/>
          <w:color w:val="auto"/>
          <w:sz w:val="72"/>
          <w:szCs w:val="72"/>
          <w:highlight w:val="none"/>
        </w:rPr>
      </w:pPr>
    </w:p>
    <w:p w14:paraId="6DE37C8A">
      <w:pPr>
        <w:jc w:val="center"/>
        <w:rPr>
          <w:rFonts w:eastAsia="黑体"/>
          <w:color w:val="auto"/>
          <w:sz w:val="72"/>
          <w:szCs w:val="72"/>
          <w:highlight w:val="none"/>
        </w:rPr>
      </w:pPr>
    </w:p>
    <w:p w14:paraId="5E8558E5">
      <w:pPr>
        <w:jc w:val="center"/>
        <w:rPr>
          <w:rFonts w:eastAsia="黑体"/>
          <w:color w:val="auto"/>
          <w:sz w:val="72"/>
          <w:szCs w:val="72"/>
          <w:highlight w:val="none"/>
        </w:rPr>
      </w:pPr>
    </w:p>
    <w:p w14:paraId="40D131CD">
      <w:pPr>
        <w:pStyle w:val="43"/>
        <w:rPr>
          <w:color w:val="auto"/>
          <w:highlight w:val="none"/>
        </w:rPr>
      </w:pPr>
    </w:p>
    <w:p w14:paraId="582619D6">
      <w:pPr>
        <w:rPr>
          <w:color w:val="auto"/>
          <w:highlight w:val="none"/>
        </w:rPr>
      </w:pPr>
    </w:p>
    <w:p w14:paraId="2D56CB89">
      <w:pPr>
        <w:jc w:val="center"/>
        <w:rPr>
          <w:rFonts w:eastAsia="黑体"/>
          <w:color w:val="auto"/>
          <w:sz w:val="72"/>
          <w:szCs w:val="72"/>
          <w:highlight w:val="none"/>
        </w:rPr>
      </w:pPr>
      <w:r>
        <w:rPr>
          <w:rFonts w:eastAsia="黑体"/>
          <w:color w:val="auto"/>
          <w:sz w:val="72"/>
          <w:szCs w:val="72"/>
          <w:highlight w:val="none"/>
        </w:rPr>
        <w:t>第一卷</w:t>
      </w:r>
    </w:p>
    <w:p w14:paraId="35547ABC">
      <w:pPr>
        <w:jc w:val="center"/>
        <w:rPr>
          <w:rFonts w:eastAsia="黑体"/>
          <w:color w:val="auto"/>
          <w:sz w:val="48"/>
          <w:szCs w:val="48"/>
          <w:highlight w:val="none"/>
        </w:rPr>
      </w:pPr>
    </w:p>
    <w:p w14:paraId="19CA1A9D">
      <w:pPr>
        <w:rPr>
          <w:rFonts w:eastAsia="黑体"/>
          <w:color w:val="auto"/>
          <w:sz w:val="48"/>
          <w:szCs w:val="48"/>
          <w:highlight w:val="none"/>
        </w:rPr>
      </w:pPr>
    </w:p>
    <w:p w14:paraId="14EA41C8">
      <w:pPr>
        <w:rPr>
          <w:rFonts w:eastAsia="黑体"/>
          <w:color w:val="auto"/>
          <w:sz w:val="48"/>
          <w:szCs w:val="48"/>
          <w:highlight w:val="none"/>
        </w:rPr>
      </w:pPr>
    </w:p>
    <w:p w14:paraId="28826353">
      <w:pPr>
        <w:rPr>
          <w:rFonts w:eastAsia="黑体"/>
          <w:color w:val="auto"/>
          <w:sz w:val="48"/>
          <w:szCs w:val="48"/>
          <w:highlight w:val="none"/>
        </w:rPr>
      </w:pPr>
    </w:p>
    <w:p w14:paraId="72694F6C">
      <w:pPr>
        <w:rPr>
          <w:rFonts w:eastAsia="黑体"/>
          <w:color w:val="auto"/>
          <w:sz w:val="48"/>
          <w:szCs w:val="48"/>
          <w:highlight w:val="none"/>
        </w:rPr>
      </w:pPr>
    </w:p>
    <w:p w14:paraId="5E96307F">
      <w:pPr>
        <w:rPr>
          <w:rFonts w:eastAsia="黑体"/>
          <w:color w:val="auto"/>
          <w:sz w:val="48"/>
          <w:szCs w:val="48"/>
          <w:highlight w:val="none"/>
        </w:rPr>
      </w:pPr>
    </w:p>
    <w:p w14:paraId="30DADCD9">
      <w:pPr>
        <w:tabs>
          <w:tab w:val="left" w:pos="3105"/>
        </w:tabs>
        <w:rPr>
          <w:rFonts w:eastAsia="黑体"/>
          <w:color w:val="auto"/>
          <w:sz w:val="48"/>
          <w:szCs w:val="48"/>
          <w:highlight w:val="none"/>
        </w:rPr>
      </w:pPr>
      <w:r>
        <w:rPr>
          <w:rFonts w:eastAsia="黑体"/>
          <w:color w:val="auto"/>
          <w:sz w:val="48"/>
          <w:szCs w:val="48"/>
          <w:highlight w:val="none"/>
        </w:rPr>
        <w:tab/>
      </w:r>
    </w:p>
    <w:p w14:paraId="0371B63C">
      <w:pPr>
        <w:tabs>
          <w:tab w:val="left" w:pos="3105"/>
        </w:tabs>
        <w:rPr>
          <w:rFonts w:eastAsia="黑体"/>
          <w:color w:val="auto"/>
          <w:sz w:val="48"/>
          <w:szCs w:val="48"/>
          <w:highlight w:val="none"/>
        </w:rPr>
        <w:sectPr>
          <w:footerReference r:id="rId7" w:type="default"/>
          <w:pgSz w:w="11907" w:h="16840"/>
          <w:pgMar w:top="1588" w:right="1701" w:bottom="1418" w:left="1701" w:header="851" w:footer="851" w:gutter="0"/>
          <w:pgNumType w:fmt="decimal" w:start="1"/>
          <w:cols w:space="720" w:num="1"/>
          <w:docGrid w:type="lines" w:linePitch="312" w:charSpace="0"/>
        </w:sectPr>
      </w:pPr>
      <w:r>
        <w:rPr>
          <w:rFonts w:eastAsia="黑体"/>
          <w:color w:val="auto"/>
          <w:sz w:val="48"/>
          <w:szCs w:val="48"/>
          <w:highlight w:val="none"/>
        </w:rPr>
        <w:tab/>
      </w:r>
    </w:p>
    <w:p w14:paraId="738D50DB">
      <w:pPr>
        <w:jc w:val="center"/>
        <w:rPr>
          <w:rFonts w:eastAsia="黑体"/>
          <w:color w:val="auto"/>
          <w:sz w:val="48"/>
          <w:szCs w:val="48"/>
          <w:highlight w:val="none"/>
        </w:rPr>
      </w:pPr>
    </w:p>
    <w:p w14:paraId="14CB8E47">
      <w:pPr>
        <w:jc w:val="center"/>
        <w:rPr>
          <w:rFonts w:eastAsia="黑体"/>
          <w:color w:val="auto"/>
          <w:sz w:val="48"/>
          <w:szCs w:val="48"/>
          <w:highlight w:val="none"/>
        </w:rPr>
      </w:pPr>
    </w:p>
    <w:p w14:paraId="3452E837">
      <w:pPr>
        <w:jc w:val="center"/>
        <w:rPr>
          <w:rFonts w:eastAsia="黑体"/>
          <w:color w:val="auto"/>
          <w:sz w:val="48"/>
          <w:szCs w:val="48"/>
          <w:highlight w:val="none"/>
        </w:rPr>
      </w:pPr>
    </w:p>
    <w:p w14:paraId="1F2B7D0E">
      <w:pPr>
        <w:jc w:val="center"/>
        <w:rPr>
          <w:rFonts w:eastAsia="黑体"/>
          <w:color w:val="auto"/>
          <w:sz w:val="48"/>
          <w:szCs w:val="48"/>
          <w:highlight w:val="none"/>
        </w:rPr>
      </w:pPr>
    </w:p>
    <w:p w14:paraId="608D417E">
      <w:pPr>
        <w:jc w:val="center"/>
        <w:rPr>
          <w:rFonts w:eastAsia="黑体"/>
          <w:color w:val="auto"/>
          <w:sz w:val="48"/>
          <w:szCs w:val="48"/>
          <w:highlight w:val="none"/>
        </w:rPr>
      </w:pPr>
    </w:p>
    <w:p w14:paraId="5E642028">
      <w:pPr>
        <w:pStyle w:val="43"/>
        <w:ind w:left="0" w:leftChars="0" w:firstLine="0" w:firstLineChars="0"/>
        <w:rPr>
          <w:color w:val="auto"/>
          <w:highlight w:val="none"/>
        </w:rPr>
      </w:pPr>
    </w:p>
    <w:p w14:paraId="3C829BC1">
      <w:pPr>
        <w:rPr>
          <w:color w:val="auto"/>
          <w:highlight w:val="none"/>
        </w:rPr>
      </w:pPr>
    </w:p>
    <w:p w14:paraId="4EB1A491">
      <w:pPr>
        <w:pStyle w:val="43"/>
        <w:rPr>
          <w:color w:val="auto"/>
          <w:highlight w:val="none"/>
        </w:rPr>
      </w:pPr>
    </w:p>
    <w:p w14:paraId="6E5B5C63">
      <w:pPr>
        <w:jc w:val="center"/>
        <w:rPr>
          <w:rFonts w:eastAsia="黑体"/>
          <w:color w:val="auto"/>
          <w:sz w:val="48"/>
          <w:szCs w:val="48"/>
          <w:highlight w:val="none"/>
        </w:rPr>
      </w:pPr>
    </w:p>
    <w:p w14:paraId="396590BD">
      <w:pPr>
        <w:numPr>
          <w:ilvl w:val="0"/>
          <w:numId w:val="2"/>
        </w:numPr>
        <w:jc w:val="center"/>
        <w:rPr>
          <w:rFonts w:eastAsia="黑体"/>
          <w:color w:val="auto"/>
          <w:sz w:val="48"/>
          <w:szCs w:val="48"/>
          <w:highlight w:val="none"/>
        </w:rPr>
      </w:pPr>
      <w:r>
        <w:rPr>
          <w:rFonts w:hint="eastAsia" w:eastAsia="黑体"/>
          <w:color w:val="auto"/>
          <w:sz w:val="48"/>
          <w:szCs w:val="48"/>
          <w:highlight w:val="none"/>
        </w:rPr>
        <w:t>招标公告</w:t>
      </w:r>
    </w:p>
    <w:p w14:paraId="4E1D1B9A">
      <w:pPr>
        <w:jc w:val="center"/>
        <w:rPr>
          <w:rFonts w:eastAsia="黑体"/>
          <w:color w:val="auto"/>
          <w:sz w:val="48"/>
          <w:szCs w:val="48"/>
          <w:highlight w:val="none"/>
        </w:rPr>
        <w:sectPr>
          <w:headerReference r:id="rId8" w:type="default"/>
          <w:pgSz w:w="11907" w:h="16840"/>
          <w:pgMar w:top="1588" w:right="1701" w:bottom="1418" w:left="1701" w:header="851" w:footer="851" w:gutter="0"/>
          <w:pgNumType w:fmt="decimal"/>
          <w:cols w:space="720" w:num="1"/>
          <w:docGrid w:type="lines" w:linePitch="312" w:charSpace="0"/>
        </w:sectPr>
      </w:pPr>
    </w:p>
    <w:p w14:paraId="0484A355">
      <w:pPr>
        <w:keepNext w:val="0"/>
        <w:keepLines w:val="0"/>
        <w:pageBreakBefore w:val="0"/>
        <w:widowControl/>
        <w:shd w:val="clear" w:color="auto" w:fill="FFFFFF"/>
        <w:kinsoku/>
        <w:wordWrap/>
        <w:overflowPunct/>
        <w:topLinePunct w:val="0"/>
        <w:autoSpaceDE/>
        <w:autoSpaceDN/>
        <w:bidi w:val="0"/>
        <w:adjustRightInd/>
        <w:snapToGrid/>
        <w:spacing w:line="240" w:lineRule="auto"/>
        <w:ind w:right="-286" w:rightChars="-136"/>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eastAsia="zh-CN"/>
        </w:rPr>
        <w:t>平房区新华村(三家子屯)城中村改造项目回迁安置工程项目施工(第一阶段)-电梯采购及安装</w:t>
      </w:r>
      <w:r>
        <w:rPr>
          <w:rFonts w:hint="eastAsia" w:ascii="仿宋" w:hAnsi="仿宋" w:eastAsia="仿宋" w:cs="仿宋"/>
          <w:b/>
          <w:bCs/>
          <w:color w:val="auto"/>
          <w:kern w:val="0"/>
          <w:sz w:val="28"/>
          <w:szCs w:val="28"/>
          <w:highlight w:val="none"/>
        </w:rPr>
        <w:t>招标公告</w:t>
      </w:r>
    </w:p>
    <w:p w14:paraId="445B8817">
      <w:pPr>
        <w:widowControl/>
        <w:shd w:val="clear" w:color="auto" w:fill="FFFFFF"/>
        <w:spacing w:line="24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哈产委采﹝2026﹞第0219号</w:t>
      </w:r>
      <w:r>
        <w:rPr>
          <w:rFonts w:hint="eastAsia" w:ascii="仿宋" w:hAnsi="仿宋" w:eastAsia="仿宋" w:cs="仿宋"/>
          <w:color w:val="auto"/>
          <w:kern w:val="0"/>
          <w:sz w:val="28"/>
          <w:szCs w:val="28"/>
          <w:highlight w:val="none"/>
        </w:rPr>
        <w:t>）</w:t>
      </w:r>
    </w:p>
    <w:p w14:paraId="7DD8ED53">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一、招标条件</w:t>
      </w:r>
    </w:p>
    <w:p w14:paraId="58A8F520">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本招标项目“</w:t>
      </w:r>
      <w:r>
        <w:rPr>
          <w:rFonts w:hint="eastAsia" w:ascii="仿宋" w:hAnsi="仿宋" w:eastAsia="仿宋" w:cs="仿宋"/>
          <w:color w:val="auto"/>
          <w:sz w:val="28"/>
          <w:szCs w:val="28"/>
          <w:highlight w:val="none"/>
          <w:lang w:eastAsia="zh-CN"/>
        </w:rPr>
        <w:t>平房区新华村(三家子屯)城中村改造项目回迁安置工程项目施工(第一阶段)-电梯采购及安装</w:t>
      </w:r>
      <w:r>
        <w:rPr>
          <w:rFonts w:hint="eastAsia" w:ascii="仿宋" w:hAnsi="仿宋" w:eastAsia="仿宋" w:cs="仿宋"/>
          <w:color w:val="auto"/>
          <w:sz w:val="28"/>
          <w:szCs w:val="28"/>
          <w:highlight w:val="none"/>
        </w:rPr>
        <w:t>”已批准招标</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rPr>
        <w:t>招标人为</w:t>
      </w:r>
      <w:r>
        <w:rPr>
          <w:rFonts w:hint="eastAsia" w:ascii="仿宋" w:hAnsi="仿宋" w:eastAsia="仿宋" w:cs="仿宋"/>
          <w:color w:val="auto"/>
          <w:sz w:val="28"/>
          <w:szCs w:val="28"/>
          <w:highlight w:val="none"/>
          <w:lang w:eastAsia="zh-CN"/>
        </w:rPr>
        <w:t>哈尔滨建工建设有限公司</w:t>
      </w:r>
      <w:r>
        <w:rPr>
          <w:rFonts w:hint="eastAsia" w:ascii="仿宋" w:hAnsi="仿宋" w:eastAsia="仿宋" w:cs="仿宋"/>
          <w:color w:val="auto"/>
          <w:sz w:val="28"/>
          <w:szCs w:val="28"/>
          <w:highlight w:val="none"/>
        </w:rPr>
        <w:t>，资金来自</w:t>
      </w:r>
      <w:r>
        <w:rPr>
          <w:rFonts w:hint="eastAsia" w:ascii="仿宋" w:hAnsi="仿宋" w:eastAsia="仿宋" w:cs="仿宋"/>
          <w:color w:val="auto"/>
          <w:sz w:val="28"/>
          <w:szCs w:val="28"/>
          <w:highlight w:val="none"/>
          <w:lang w:eastAsia="zh-CN"/>
        </w:rPr>
        <w:t>自筹资金，</w:t>
      </w:r>
      <w:r>
        <w:rPr>
          <w:rFonts w:hint="eastAsia" w:ascii="仿宋" w:hAnsi="仿宋" w:eastAsia="仿宋" w:cs="仿宋"/>
          <w:color w:val="auto"/>
          <w:sz w:val="28"/>
          <w:szCs w:val="28"/>
          <w:highlight w:val="none"/>
        </w:rPr>
        <w:t>该项目已具备招标条件，现对该项目进行公开招标。</w:t>
      </w:r>
    </w:p>
    <w:p w14:paraId="40136E89">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二.项目概况与招标范围</w:t>
      </w:r>
    </w:p>
    <w:p w14:paraId="10438F52">
      <w:pPr>
        <w:pStyle w:val="8"/>
        <w:spacing w:line="240" w:lineRule="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2.1项目名称：</w:t>
      </w:r>
      <w:r>
        <w:rPr>
          <w:rFonts w:hint="eastAsia" w:ascii="仿宋" w:hAnsi="仿宋" w:eastAsia="仿宋" w:cs="仿宋"/>
          <w:color w:val="auto"/>
          <w:kern w:val="0"/>
          <w:sz w:val="28"/>
          <w:szCs w:val="28"/>
          <w:highlight w:val="none"/>
          <w:lang w:eastAsia="zh-CN"/>
        </w:rPr>
        <w:t>平房区新华村(三家子屯)城中村改造项目回迁安置工程项目施工(第一阶段)-电梯采购及安装</w:t>
      </w:r>
    </w:p>
    <w:p w14:paraId="44BBAACB">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2.2招标方式：公开招标</w:t>
      </w:r>
    </w:p>
    <w:p w14:paraId="174C482F">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2.3资金来源：</w:t>
      </w:r>
      <w:r>
        <w:rPr>
          <w:rFonts w:hint="eastAsia" w:ascii="仿宋" w:hAnsi="仿宋" w:eastAsia="仿宋" w:cs="仿宋"/>
          <w:color w:val="auto"/>
          <w:kern w:val="0"/>
          <w:sz w:val="28"/>
          <w:szCs w:val="28"/>
          <w:highlight w:val="none"/>
          <w:lang w:eastAsia="zh-CN"/>
        </w:rPr>
        <w:t>自筹资金</w:t>
      </w:r>
      <w:r>
        <w:rPr>
          <w:rFonts w:hint="eastAsia" w:ascii="仿宋" w:hAnsi="仿宋" w:eastAsia="仿宋" w:cs="仿宋"/>
          <w:color w:val="auto"/>
          <w:kern w:val="0"/>
          <w:sz w:val="28"/>
          <w:szCs w:val="28"/>
          <w:highlight w:val="none"/>
        </w:rPr>
        <w:t>。</w:t>
      </w:r>
    </w:p>
    <w:p w14:paraId="447682EF">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2.4采购内容</w:t>
      </w:r>
      <w:r>
        <w:rPr>
          <w:rFonts w:hint="eastAsia" w:ascii="仿宋" w:hAnsi="仿宋" w:eastAsia="仿宋" w:cs="仿宋"/>
          <w:color w:val="auto"/>
          <w:kern w:val="0"/>
          <w:sz w:val="28"/>
          <w:szCs w:val="28"/>
          <w:highlight w:val="none"/>
          <w:lang w:val="en-US" w:eastAsia="zh-CN"/>
        </w:rPr>
        <w:t>及范围</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平客梯3台，具体数量及技术要求详见招标文件</w:t>
      </w:r>
      <w:r>
        <w:rPr>
          <w:rFonts w:hint="eastAsia" w:ascii="仿宋" w:hAnsi="仿宋" w:eastAsia="仿宋" w:cs="仿宋"/>
          <w:color w:val="auto"/>
          <w:kern w:val="0"/>
          <w:sz w:val="28"/>
          <w:szCs w:val="28"/>
          <w:highlight w:val="none"/>
        </w:rPr>
        <w:t>。</w:t>
      </w:r>
    </w:p>
    <w:p w14:paraId="0D1F6E0B">
      <w:pPr>
        <w:pStyle w:val="8"/>
        <w:spacing w:line="240" w:lineRule="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2.5招标范围：完成本项目电梯供货、安装、调试、验收、培训、报验、备案、售后以及其他满足电梯正常运行需求、同总包单位配合等全部工作内容。1.包括电梯本体与附属设备的制作、安装、运输、辅助材料采购、运输及安装。2.电梯内外装饰、电梯智能、电话报警采购、运输及安装。3.电梯现场内的水平与垂直运输或吊装。具体规格、技术参数详见图纸、招标工程量清单和技术要求及规格说明。</w:t>
      </w:r>
    </w:p>
    <w:p w14:paraId="0B05E94B">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2.6供货地点：</w:t>
      </w:r>
      <w:r>
        <w:rPr>
          <w:rFonts w:hint="eastAsia" w:ascii="仿宋" w:hAnsi="仿宋" w:eastAsia="仿宋" w:cs="仿宋"/>
          <w:color w:val="auto"/>
          <w:kern w:val="0"/>
          <w:sz w:val="28"/>
          <w:szCs w:val="28"/>
          <w:highlight w:val="none"/>
          <w:lang w:eastAsia="zh-CN"/>
        </w:rPr>
        <w:t>招标人指定地点</w:t>
      </w:r>
      <w:r>
        <w:rPr>
          <w:rFonts w:hint="eastAsia" w:ascii="仿宋" w:hAnsi="仿宋" w:eastAsia="仿宋" w:cs="仿宋"/>
          <w:color w:val="auto"/>
          <w:kern w:val="0"/>
          <w:sz w:val="28"/>
          <w:szCs w:val="28"/>
          <w:highlight w:val="none"/>
        </w:rPr>
        <w:t>。</w:t>
      </w:r>
    </w:p>
    <w:p w14:paraId="2278B6F2">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2.7</w:t>
      </w:r>
      <w:r>
        <w:rPr>
          <w:rFonts w:hint="eastAsia" w:ascii="仿宋" w:hAnsi="仿宋" w:eastAsia="仿宋" w:cs="仿宋"/>
          <w:color w:val="auto"/>
          <w:kern w:val="0"/>
          <w:sz w:val="28"/>
          <w:szCs w:val="28"/>
          <w:highlight w:val="none"/>
          <w:lang w:eastAsia="zh-CN"/>
        </w:rPr>
        <w:t>供货时间</w:t>
      </w:r>
      <w:r>
        <w:rPr>
          <w:rFonts w:hint="eastAsia" w:ascii="仿宋" w:hAnsi="仿宋" w:eastAsia="仿宋" w:cs="仿宋"/>
          <w:color w:val="auto"/>
          <w:kern w:val="0"/>
          <w:sz w:val="28"/>
          <w:szCs w:val="28"/>
          <w:highlight w:val="none"/>
        </w:rPr>
        <w:t>：共90日历天，配合总包单位进行预埋，技术支持、电梯生产安装及调试等相关工作;安装调试完成后30日内验收完毕(含取证)。具体以甲方正式通知为准并应满足甲方工程进度要求，工期须满足总包总体进度计划要求。（实际工期开始时间以招标人指令为准）。</w:t>
      </w:r>
    </w:p>
    <w:p w14:paraId="13CDA939">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2.8质量标准：符合现行国家、行业、质量验收标准以及相关专业验收规范的合格标准。</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注：电梯产品质量、性能指标、安装质量、维修保养、装饰装修及售后服务等必须达到国家现行规范和规定标准。其中：①安装调试完成后需通过政府相关职能部门的验收要求，并取得国家质量监督检验部门颁发的《电梯验收检验报告》及《电梯检验合格证》等相应的文件证明。②电梯的主要性能指标指安全性、可靠性、舒适感和快速性、停站准确性、振动、噪音及电磁干扰、节能和装璜等必须达到国家现行规范和规定标准，满足施工图纸的相关设计要求。</w:t>
      </w:r>
    </w:p>
    <w:p w14:paraId="149BC0EA">
      <w:pPr>
        <w:pStyle w:val="8"/>
        <w:spacing w:line="240" w:lineRule="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2.9最高投标限价：</w:t>
      </w:r>
      <w:r>
        <w:rPr>
          <w:rFonts w:hint="eastAsia" w:ascii="仿宋" w:hAnsi="仿宋" w:eastAsia="仿宋" w:cs="仿宋"/>
          <w:color w:val="auto"/>
          <w:kern w:val="0"/>
          <w:sz w:val="28"/>
          <w:szCs w:val="28"/>
          <w:highlight w:val="none"/>
          <w:lang w:val="en-US" w:eastAsia="zh-CN"/>
        </w:rPr>
        <w:t>632100.00元</w:t>
      </w:r>
      <w:r>
        <w:rPr>
          <w:rFonts w:hint="eastAsia" w:ascii="仿宋" w:hAnsi="仿宋" w:eastAsia="仿宋" w:cs="仿宋"/>
          <w:color w:val="auto"/>
          <w:kern w:val="0"/>
          <w:sz w:val="28"/>
          <w:szCs w:val="28"/>
          <w:highlight w:val="none"/>
        </w:rPr>
        <w:t>。</w:t>
      </w:r>
    </w:p>
    <w:p w14:paraId="4C42C57B">
      <w:pPr>
        <w:pStyle w:val="8"/>
        <w:spacing w:line="24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2.10标段划分：</w:t>
      </w:r>
      <w:r>
        <w:rPr>
          <w:rFonts w:hint="eastAsia" w:ascii="仿宋" w:hAnsi="仿宋" w:eastAsia="仿宋" w:cs="仿宋"/>
          <w:color w:val="auto"/>
          <w:kern w:val="0"/>
          <w:sz w:val="28"/>
          <w:szCs w:val="28"/>
          <w:highlight w:val="none"/>
          <w:lang w:eastAsia="zh-CN"/>
        </w:rPr>
        <w:t>本项目</w:t>
      </w:r>
      <w:r>
        <w:rPr>
          <w:rFonts w:hint="eastAsia" w:ascii="仿宋" w:hAnsi="仿宋" w:eastAsia="仿宋" w:cs="仿宋"/>
          <w:color w:val="auto"/>
          <w:kern w:val="0"/>
          <w:sz w:val="28"/>
          <w:szCs w:val="28"/>
          <w:highlight w:val="none"/>
          <w:lang w:val="en-US" w:eastAsia="zh-CN"/>
        </w:rPr>
        <w:t>不</w:t>
      </w:r>
      <w:r>
        <w:rPr>
          <w:rFonts w:hint="eastAsia" w:ascii="仿宋" w:hAnsi="仿宋" w:eastAsia="仿宋" w:cs="仿宋"/>
          <w:color w:val="auto"/>
          <w:kern w:val="0"/>
          <w:sz w:val="28"/>
          <w:szCs w:val="28"/>
          <w:highlight w:val="none"/>
          <w:lang w:eastAsia="zh-CN"/>
        </w:rPr>
        <w:t>划分</w:t>
      </w:r>
      <w:r>
        <w:rPr>
          <w:rFonts w:hint="eastAsia" w:ascii="仿宋" w:hAnsi="仿宋" w:eastAsia="仿宋" w:cs="仿宋"/>
          <w:color w:val="auto"/>
          <w:kern w:val="0"/>
          <w:sz w:val="28"/>
          <w:szCs w:val="28"/>
          <w:highlight w:val="none"/>
          <w:lang w:val="en-US" w:eastAsia="zh-CN"/>
        </w:rPr>
        <w:t>标段</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xml:space="preserve">  </w:t>
      </w:r>
    </w:p>
    <w:p w14:paraId="70F5CB3D">
      <w:pPr>
        <w:pStyle w:val="8"/>
        <w:spacing w:line="240" w:lineRule="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2.11质保期：质保2年，维保2年</w:t>
      </w:r>
    </w:p>
    <w:p w14:paraId="6D7D7FCC">
      <w:pPr>
        <w:widowControl/>
        <w:numPr>
          <w:ilvl w:val="0"/>
          <w:numId w:val="3"/>
        </w:numPr>
        <w:shd w:val="clear" w:color="auto" w:fill="FFFFFF"/>
        <w:spacing w:line="24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b/>
          <w:color w:val="auto"/>
          <w:kern w:val="0"/>
          <w:sz w:val="28"/>
          <w:szCs w:val="28"/>
          <w:highlight w:val="none"/>
        </w:rPr>
        <w:t>投标人资格要求</w:t>
      </w:r>
    </w:p>
    <w:p w14:paraId="4880DB4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3.1本次招标要求投标人是在中华人民共和国境内注册的独立法人或者其他组织，具有有效的营业执照，并在人员、设备、资金等方面具有相应的履约能力。</w:t>
      </w:r>
    </w:p>
    <w:p w14:paraId="42E067F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3.2资质要求：（1）投标人如为电梯制造企业须具备市级及以上质量技术监督局（或市场监督管理局）核发的中华人民共和国特种设备生产许可证（电梯制造含曳引驱动乘客电梯）或中华人民共和国特种设备制造许可证（含曳引驱动乘客电梯B级及以上）；同时具备市级及以上质量技术监督局（或市场监督管理局）核发的中华人民共和国特种设备安装改造维修许可证（电梯）B级及以上资质。如制造商电梯生产许可证含电梯安装资质的，可不用再单独提供电梯安装资质；（2）如为代理商投标，所投电梯制造企业须具备市级及以上质量技术监督局（或市场监督管理局）核发的中华人民共和国特种设备生产许可证（电梯制造含曳引驱动乘客电梯）或中华人民共和国特种设备制造许可证（含曳引驱动乘客电梯B级及以上），同时代理商须具备市级及以上质量技术监督局（或市场监督管理局）核发的中华人民共和国特种设备生产许可证（含曳引驱动乘客电梯B级及以上）或中华人民共和国特种设备安装改造维修许可证（电梯）B级及以上资质；</w:t>
      </w:r>
    </w:p>
    <w:p w14:paraId="1945418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3.3本项目针对拟采购货物，同一品牌只接受一家货物制造商或生产商或代理商参与本次投标活动，如为代理商投标，还须提供制造商或生产商营业执照及授权书。如有同一品牌多个货物制造商或生产商或代理商参与投标，则相关投标均被否决。</w:t>
      </w:r>
    </w:p>
    <w:p w14:paraId="0F20C8E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3.4潜在投标人及法定代表人在“信用中国”网站（http://www.creditchina.gov.cn）中未被列入失信被执行人名单，以实际查询结果为准。</w:t>
      </w:r>
    </w:p>
    <w:p w14:paraId="4DF88C6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3.5潜在投标人及法定代表人近三年内（2023年04月01日至响应文件递交截止日）没有行贿犯罪记录（行贿犯罪记录以中国裁判文书网http://wenshu.court.gov.cn/的实际查询结果为准）。</w:t>
      </w:r>
    </w:p>
    <w:p w14:paraId="1F5C148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3.6拟参加本项目的潜在投标人未被列入严重违法失信企业名单及企业经营异常名录；以国家企业信用信息公示系统（http://www.gsxt.gov.cn/）实际查询结果为准。</w:t>
      </w:r>
    </w:p>
    <w:p w14:paraId="54C0E45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3.7其他要求：</w:t>
      </w:r>
      <w:r>
        <w:rPr>
          <w:rFonts w:hint="eastAsia" w:ascii="仿宋" w:hAnsi="仿宋" w:eastAsia="仿宋" w:cs="仿宋"/>
          <w:color w:val="auto"/>
          <w:kern w:val="0"/>
          <w:sz w:val="28"/>
          <w:szCs w:val="28"/>
          <w:highlight w:val="none"/>
        </w:rPr>
        <w:t>本项目采用资格后审方式,主要资格审查标准、内容等详见招标文件，只有资格审查合格的投标申请人才有可能被授予合同。</w:t>
      </w:r>
    </w:p>
    <w:p w14:paraId="4DCEE9D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3.8本项目不允许联合体投标。</w:t>
      </w:r>
    </w:p>
    <w:p w14:paraId="64202975">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四、招标文件的获取</w:t>
      </w:r>
    </w:p>
    <w:p w14:paraId="36EDFA23">
      <w:pPr>
        <w:keepNext w:val="0"/>
        <w:keepLines w:val="0"/>
        <w:pageBreakBefore w:val="0"/>
        <w:widowControl/>
        <w:shd w:val="clear" w:color="auto" w:fill="FFFFFF"/>
        <w:kinsoku/>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4.1凡有意参加的供应商，请在文件获取时间内登录https://www.hrbcqjys.com/，按要求进行实名会员注册及选择我要参与后，在此网站下进行项目操作；</w:t>
      </w:r>
    </w:p>
    <w:p w14:paraId="05F63E6F">
      <w:pPr>
        <w:keepNext w:val="0"/>
        <w:keepLines w:val="0"/>
        <w:pageBreakBefore w:val="0"/>
        <w:widowControl/>
        <w:shd w:val="clear" w:color="auto" w:fill="FFFFFF"/>
        <w:kinsoku/>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4.2凡有意参加投标者，请于</w:t>
      </w:r>
      <w:r>
        <w:rPr>
          <w:rFonts w:hint="eastAsia" w:ascii="仿宋" w:hAnsi="仿宋" w:eastAsia="仿宋" w:cs="仿宋"/>
          <w:kern w:val="0"/>
          <w:sz w:val="28"/>
          <w:szCs w:val="28"/>
          <w:highlight w:val="none"/>
          <w:lang w:eastAsia="zh-CN"/>
        </w:rPr>
        <w:t>2026年04月</w:t>
      </w:r>
      <w:r>
        <w:rPr>
          <w:rFonts w:hint="eastAsia" w:ascii="仿宋" w:hAnsi="仿宋" w:eastAsia="仿宋" w:cs="仿宋"/>
          <w:kern w:val="0"/>
          <w:sz w:val="28"/>
          <w:szCs w:val="28"/>
          <w:highlight w:val="none"/>
          <w:lang w:val="en-US" w:eastAsia="zh-CN"/>
        </w:rPr>
        <w:t>15</w:t>
      </w:r>
      <w:r>
        <w:rPr>
          <w:rFonts w:hint="eastAsia" w:ascii="仿宋" w:hAnsi="仿宋" w:eastAsia="仿宋" w:cs="仿宋"/>
          <w:kern w:val="0"/>
          <w:sz w:val="28"/>
          <w:szCs w:val="28"/>
          <w:highlight w:val="none"/>
          <w:lang w:eastAsia="zh-CN"/>
        </w:rPr>
        <w:t>日09时00分至2026年04月</w:t>
      </w:r>
      <w:r>
        <w:rPr>
          <w:rFonts w:hint="eastAsia" w:ascii="仿宋" w:hAnsi="仿宋" w:eastAsia="仿宋" w:cs="仿宋"/>
          <w:kern w:val="0"/>
          <w:sz w:val="28"/>
          <w:szCs w:val="28"/>
          <w:highlight w:val="none"/>
          <w:lang w:val="en-US" w:eastAsia="zh-CN"/>
        </w:rPr>
        <w:t>21</w:t>
      </w:r>
      <w:r>
        <w:rPr>
          <w:rFonts w:hint="eastAsia" w:ascii="仿宋" w:hAnsi="仿宋" w:eastAsia="仿宋" w:cs="仿宋"/>
          <w:kern w:val="0"/>
          <w:sz w:val="28"/>
          <w:szCs w:val="28"/>
          <w:highlight w:val="none"/>
          <w:lang w:eastAsia="zh-CN"/>
        </w:rPr>
        <w:t>日</w:t>
      </w:r>
      <w:r>
        <w:rPr>
          <w:rFonts w:hint="eastAsia" w:ascii="仿宋" w:hAnsi="仿宋" w:eastAsia="仿宋" w:cs="仿宋"/>
          <w:kern w:val="0"/>
          <w:sz w:val="28"/>
          <w:szCs w:val="28"/>
          <w:highlight w:val="none"/>
          <w:lang w:val="en-US" w:eastAsia="zh-CN"/>
        </w:rPr>
        <w:t>16</w:t>
      </w:r>
      <w:r>
        <w:rPr>
          <w:rFonts w:hint="eastAsia" w:ascii="仿宋" w:hAnsi="仿宋" w:eastAsia="仿宋" w:cs="仿宋"/>
          <w:kern w:val="0"/>
          <w:sz w:val="28"/>
          <w:szCs w:val="28"/>
          <w:highlight w:val="none"/>
          <w:lang w:eastAsia="zh-CN"/>
        </w:rPr>
        <w:t>时00分</w:t>
      </w:r>
      <w:r>
        <w:rPr>
          <w:rFonts w:hint="eastAsia" w:ascii="仿宋" w:hAnsi="仿宋" w:eastAsia="仿宋" w:cs="仿宋"/>
          <w:kern w:val="0"/>
          <w:sz w:val="28"/>
          <w:szCs w:val="28"/>
          <w:highlight w:val="none"/>
        </w:rPr>
        <w:t>（北京时间，下同），上述时间内，注：操作手册下载方式：点击https://hrbggzy.harbin.gov.cn/、https://www.hrbcqjys.com/，到网站首页“办事指南/文档下载”中根据项目类型下载对应操作手册。按要求进行实名会员注册及选择我要参与、缴纳文件费用后购买文件。未在规定时间内完成下载而导致的一系列问题，由供应商自行承担。。</w:t>
      </w:r>
    </w:p>
    <w:p w14:paraId="2FA6BB77">
      <w:pPr>
        <w:keepNext w:val="0"/>
        <w:keepLines w:val="0"/>
        <w:pageBreakBefore w:val="0"/>
        <w:widowControl/>
        <w:shd w:val="clear" w:color="auto" w:fill="FFFFFF"/>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4.3投标人需将营业执照、法人身份证复印件和授权委托人身份证复印件（附授权委托书）加盖公章进行清晰原件扫描，在注册完账号点击我要参与后，填写信息时上传到对应位置。投标人获取招标文件后需将以上材料，连同联系人姓名、联系电话、开具发票所需信息等（</w:t>
      </w:r>
      <w:r>
        <w:rPr>
          <w:rFonts w:hint="eastAsia" w:ascii="仿宋" w:hAnsi="仿宋" w:eastAsia="仿宋" w:cs="仿宋"/>
          <w:b/>
          <w:bCs/>
          <w:kern w:val="0"/>
          <w:sz w:val="28"/>
          <w:szCs w:val="28"/>
          <w:highlight w:val="none"/>
        </w:rPr>
        <w:t>详见招标文件附表1格式</w:t>
      </w:r>
      <w:r>
        <w:rPr>
          <w:rFonts w:hint="eastAsia" w:ascii="仿宋" w:hAnsi="仿宋" w:eastAsia="仿宋" w:cs="仿宋"/>
          <w:kern w:val="0"/>
          <w:sz w:val="28"/>
          <w:szCs w:val="28"/>
          <w:highlight w:val="none"/>
        </w:rPr>
        <w:t>）一同发送至</w:t>
      </w:r>
      <w:r>
        <w:rPr>
          <w:rFonts w:hint="eastAsia" w:ascii="仿宋" w:hAnsi="仿宋" w:eastAsia="仿宋" w:cs="仿宋"/>
          <w:kern w:val="0"/>
          <w:sz w:val="28"/>
          <w:szCs w:val="28"/>
          <w:highlight w:val="none"/>
          <w:lang w:eastAsia="zh-CN"/>
        </w:rPr>
        <w:t>tzzx2010@163.com</w:t>
      </w:r>
      <w:r>
        <w:rPr>
          <w:rFonts w:hint="eastAsia" w:ascii="仿宋" w:hAnsi="仿宋" w:eastAsia="仿宋" w:cs="仿宋"/>
          <w:kern w:val="0"/>
          <w:sz w:val="28"/>
          <w:szCs w:val="28"/>
          <w:highlight w:val="none"/>
        </w:rPr>
        <w:t>邮箱（邮件名称：项目编号+投标人单位全称）。投标人对所提供材料的真实性、完整性、准确性和合法性负全责。</w:t>
      </w:r>
    </w:p>
    <w:p w14:paraId="744CCACE">
      <w:pPr>
        <w:keepNext w:val="0"/>
        <w:keepLines w:val="0"/>
        <w:pageBreakBefore w:val="0"/>
        <w:widowControl/>
        <w:shd w:val="clear" w:color="auto" w:fill="FFFFFF"/>
        <w:kinsoku/>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kern w:val="0"/>
          <w:sz w:val="28"/>
          <w:szCs w:val="28"/>
          <w:highlight w:val="none"/>
        </w:rPr>
        <w:t>招标文件售价：招标文件每套</w:t>
      </w:r>
      <w:r>
        <w:rPr>
          <w:rFonts w:hint="eastAsia" w:ascii="仿宋" w:hAnsi="仿宋" w:eastAsia="仿宋" w:cs="仿宋"/>
          <w:kern w:val="0"/>
          <w:sz w:val="28"/>
          <w:szCs w:val="28"/>
          <w:highlight w:val="none"/>
          <w:lang w:val="en-US" w:eastAsia="zh-CN"/>
        </w:rPr>
        <w:t>1000.00</w:t>
      </w:r>
      <w:r>
        <w:rPr>
          <w:rFonts w:hint="eastAsia" w:ascii="仿宋" w:hAnsi="仿宋" w:eastAsia="仿宋" w:cs="仿宋"/>
          <w:kern w:val="0"/>
          <w:sz w:val="28"/>
          <w:szCs w:val="28"/>
          <w:highlight w:val="none"/>
        </w:rPr>
        <w:t>元，售后不退。投标人通过哈尔滨市公共资源交易平台提供的哈尔滨产权交易所有限责任公司交纳账号在线支付、下载文件。未按要求向哈尔滨产权交易所有限责任公司购买招标文件并登记备案的潜在投标人均无资格参与评审。投标人准备和参加评审活动发生的所有费用自理。拟参加本项目的投标人在缴纳完标书款后，需在截止时间前，自行进入系统缴费页面进行查询，如因未查询而导致的标书款交纳无效，由投标人自行承担责任。</w:t>
      </w:r>
    </w:p>
    <w:p w14:paraId="4C2AFE91">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五、投标文件的递交 </w:t>
      </w:r>
    </w:p>
    <w:p w14:paraId="700A3FA1">
      <w:pPr>
        <w:keepNext w:val="0"/>
        <w:keepLines w:val="0"/>
        <w:pageBreakBefore w:val="0"/>
        <w:widowControl/>
        <w:shd w:val="clear" w:color="auto" w:fill="FFFFFF"/>
        <w:kinsoku/>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投标文件递交截止时间及投标文件递交地点：</w:t>
      </w:r>
      <w:r>
        <w:rPr>
          <w:rFonts w:hint="eastAsia" w:ascii="仿宋" w:hAnsi="仿宋" w:eastAsia="仿宋" w:cs="仿宋"/>
          <w:kern w:val="0"/>
          <w:sz w:val="28"/>
          <w:szCs w:val="28"/>
          <w:highlight w:val="none"/>
          <w:lang w:eastAsia="zh-CN"/>
        </w:rPr>
        <w:t>2026年</w:t>
      </w:r>
      <w:r>
        <w:rPr>
          <w:rFonts w:hint="eastAsia" w:ascii="仿宋" w:hAnsi="仿宋" w:eastAsia="仿宋" w:cs="仿宋"/>
          <w:kern w:val="0"/>
          <w:sz w:val="28"/>
          <w:szCs w:val="28"/>
          <w:highlight w:val="none"/>
          <w:lang w:val="en-US" w:eastAsia="zh-CN"/>
        </w:rPr>
        <w:t>04</w:t>
      </w:r>
      <w:r>
        <w:rPr>
          <w:rFonts w:hint="eastAsia" w:ascii="仿宋" w:hAnsi="仿宋" w:eastAsia="仿宋" w:cs="仿宋"/>
          <w:kern w:val="0"/>
          <w:sz w:val="28"/>
          <w:szCs w:val="28"/>
          <w:highlight w:val="none"/>
          <w:lang w:eastAsia="zh-CN"/>
        </w:rPr>
        <w:t>月</w:t>
      </w:r>
      <w:r>
        <w:rPr>
          <w:rFonts w:hint="eastAsia" w:ascii="仿宋" w:hAnsi="仿宋" w:eastAsia="仿宋" w:cs="仿宋"/>
          <w:kern w:val="0"/>
          <w:sz w:val="28"/>
          <w:szCs w:val="28"/>
          <w:highlight w:val="none"/>
          <w:lang w:val="en-US" w:eastAsia="zh-CN"/>
        </w:rPr>
        <w:t>24</w:t>
      </w:r>
      <w:r>
        <w:rPr>
          <w:rFonts w:hint="eastAsia" w:ascii="仿宋" w:hAnsi="仿宋" w:eastAsia="仿宋" w:cs="仿宋"/>
          <w:kern w:val="0"/>
          <w:sz w:val="28"/>
          <w:szCs w:val="28"/>
          <w:highlight w:val="none"/>
          <w:lang w:eastAsia="zh-CN"/>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lang w:eastAsia="zh-CN"/>
        </w:rPr>
        <w:t>时</w:t>
      </w:r>
      <w:r>
        <w:rPr>
          <w:rFonts w:hint="eastAsia" w:ascii="仿宋" w:hAnsi="仿宋" w:eastAsia="仿宋" w:cs="仿宋"/>
          <w:kern w:val="0"/>
          <w:sz w:val="28"/>
          <w:szCs w:val="28"/>
          <w:highlight w:val="none"/>
          <w:lang w:val="en-US" w:eastAsia="zh-CN"/>
        </w:rPr>
        <w:t>0</w:t>
      </w:r>
      <w:r>
        <w:rPr>
          <w:rFonts w:hint="eastAsia" w:ascii="仿宋" w:hAnsi="仿宋" w:eastAsia="仿宋" w:cs="仿宋"/>
          <w:kern w:val="0"/>
          <w:sz w:val="28"/>
          <w:szCs w:val="28"/>
          <w:highlight w:val="none"/>
          <w:lang w:eastAsia="zh-CN"/>
        </w:rPr>
        <w:t>0分</w:t>
      </w:r>
      <w:r>
        <w:rPr>
          <w:rFonts w:hint="eastAsia" w:ascii="仿宋" w:hAnsi="仿宋" w:eastAsia="仿宋" w:cs="仿宋"/>
          <w:kern w:val="0"/>
          <w:sz w:val="28"/>
          <w:szCs w:val="28"/>
          <w:highlight w:val="none"/>
        </w:rPr>
        <w:t>，投标人应在此之前将密封的投标文件送达哈尔滨市道里区抚顺街1号，哈尔滨产权交易所一楼标书受理处</w:t>
      </w:r>
      <w:r>
        <w:rPr>
          <w:rFonts w:hint="eastAsia" w:ascii="仿宋" w:hAnsi="仿宋" w:eastAsia="仿宋" w:cs="仿宋"/>
          <w:kern w:val="0"/>
          <w:sz w:val="28"/>
          <w:szCs w:val="28"/>
          <w:highlight w:val="none"/>
          <w:lang w:eastAsia="zh-CN"/>
        </w:rPr>
        <w:t>。</w:t>
      </w:r>
    </w:p>
    <w:p w14:paraId="07F4ECFB">
      <w:pPr>
        <w:keepNext w:val="0"/>
        <w:keepLines w:val="0"/>
        <w:pageBreakBefore w:val="0"/>
        <w:widowControl/>
        <w:shd w:val="clear" w:color="auto" w:fill="FFFFFF"/>
        <w:kinsoku/>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请各投标人代表在</w:t>
      </w:r>
      <w:r>
        <w:rPr>
          <w:rFonts w:hint="eastAsia" w:ascii="仿宋" w:hAnsi="仿宋" w:eastAsia="仿宋" w:cs="仿宋"/>
          <w:color w:val="000000" w:themeColor="text1"/>
          <w:kern w:val="0"/>
          <w:sz w:val="28"/>
          <w:szCs w:val="28"/>
          <w:highlight w:val="none"/>
          <w:lang w:eastAsia="zh-CN"/>
          <w14:textFill>
            <w14:solidFill>
              <w14:schemeClr w14:val="tx1"/>
            </w14:solidFill>
          </w14:textFill>
        </w:rPr>
        <w:t>2026年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04</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24</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日</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0分至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0</w:t>
      </w:r>
      <w:r>
        <w:rPr>
          <w:rFonts w:hint="eastAsia" w:ascii="仿宋" w:hAnsi="仿宋" w:eastAsia="仿宋" w:cs="仿宋"/>
          <w:color w:val="000000" w:themeColor="text1"/>
          <w:kern w:val="0"/>
          <w:sz w:val="28"/>
          <w:szCs w:val="28"/>
          <w:highlight w:val="none"/>
          <w:lang w:eastAsia="zh-CN"/>
          <w14:textFill>
            <w14:solidFill>
              <w14:schemeClr w14:val="tx1"/>
            </w14:solidFill>
          </w14:textFill>
        </w:rPr>
        <w:t>0分</w:t>
      </w:r>
      <w:r>
        <w:rPr>
          <w:rFonts w:hint="eastAsia" w:ascii="仿宋" w:hAnsi="仿宋" w:eastAsia="仿宋" w:cs="仿宋"/>
          <w:kern w:val="0"/>
          <w:sz w:val="28"/>
          <w:szCs w:val="28"/>
          <w:highlight w:val="none"/>
        </w:rPr>
        <w:t xml:space="preserve">递交投标文件，逾期送达的或不符合规定的投标文件将被拒绝接受。 </w:t>
      </w:r>
    </w:p>
    <w:p w14:paraId="144E1CFA">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六、开标时间及地点</w:t>
      </w:r>
    </w:p>
    <w:p w14:paraId="6EBDB62D">
      <w:pPr>
        <w:widowControl/>
        <w:shd w:val="clear" w:color="auto" w:fill="FFFFFF"/>
        <w:spacing w:line="24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6.1开标时间为</w:t>
      </w:r>
      <w:r>
        <w:rPr>
          <w:rFonts w:hint="eastAsia" w:ascii="仿宋" w:hAnsi="仿宋" w:eastAsia="仿宋" w:cs="仿宋"/>
          <w:color w:val="auto"/>
          <w:kern w:val="0"/>
          <w:sz w:val="28"/>
          <w:szCs w:val="28"/>
          <w:highlight w:val="none"/>
          <w:lang w:eastAsia="zh-CN"/>
        </w:rPr>
        <w:t>：2026年</w:t>
      </w:r>
      <w:r>
        <w:rPr>
          <w:rFonts w:hint="eastAsia" w:ascii="仿宋" w:hAnsi="仿宋" w:eastAsia="仿宋" w:cs="仿宋"/>
          <w:color w:val="auto"/>
          <w:kern w:val="0"/>
          <w:sz w:val="28"/>
          <w:szCs w:val="28"/>
          <w:highlight w:val="none"/>
          <w:lang w:val="en-US" w:eastAsia="zh-CN"/>
        </w:rPr>
        <w:t>04</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24</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lang w:eastAsia="zh-CN"/>
        </w:rPr>
        <w:t>时</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lang w:eastAsia="zh-CN"/>
        </w:rPr>
        <w:t>0分</w:t>
      </w:r>
      <w:r>
        <w:rPr>
          <w:rFonts w:hint="eastAsia" w:ascii="仿宋" w:hAnsi="仿宋" w:eastAsia="仿宋" w:cs="仿宋"/>
          <w:color w:val="auto"/>
          <w:kern w:val="0"/>
          <w:sz w:val="28"/>
          <w:szCs w:val="28"/>
          <w:highlight w:val="none"/>
        </w:rPr>
        <w:t>。</w:t>
      </w:r>
    </w:p>
    <w:p w14:paraId="794317EE">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6.2开标地点：哈尔滨产权交易所有限责任公司</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哈尔滨市道里区抚顺街1号哈尔滨产权交易所有限责任公司</w:t>
      </w:r>
      <w:r>
        <w:rPr>
          <w:rFonts w:hint="eastAsia" w:ascii="仿宋" w:hAnsi="仿宋" w:eastAsia="仿宋" w:cs="仿宋"/>
          <w:color w:val="auto"/>
          <w:kern w:val="0"/>
          <w:sz w:val="28"/>
          <w:szCs w:val="28"/>
          <w:highlight w:val="none"/>
          <w:lang w:eastAsia="zh-CN"/>
        </w:rPr>
        <w:t>开标室）</w:t>
      </w:r>
      <w:r>
        <w:rPr>
          <w:rFonts w:hint="eastAsia" w:ascii="仿宋" w:hAnsi="仿宋" w:eastAsia="仿宋" w:cs="仿宋"/>
          <w:color w:val="auto"/>
          <w:kern w:val="0"/>
          <w:sz w:val="28"/>
          <w:szCs w:val="28"/>
          <w:highlight w:val="none"/>
        </w:rPr>
        <w:t xml:space="preserve">；   </w:t>
      </w:r>
    </w:p>
    <w:p w14:paraId="3FB2F19C">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七、发布公告的媒介</w:t>
      </w:r>
    </w:p>
    <w:p w14:paraId="082A9C06">
      <w:pPr>
        <w:widowControl/>
        <w:shd w:val="clear" w:color="auto" w:fill="FFFFFF"/>
        <w:spacing w:line="24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本次招标公告同时在</w:t>
      </w:r>
    </w:p>
    <w:p w14:paraId="270A023F">
      <w:pPr>
        <w:widowControl/>
        <w:shd w:val="clear" w:color="auto" w:fill="FFFFFF"/>
        <w:spacing w:line="24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哈尔滨产权交易所（</w:t>
      </w:r>
      <w:r>
        <w:rPr>
          <w:rFonts w:hint="eastAsia" w:ascii="仿宋" w:hAnsi="仿宋" w:eastAsia="仿宋" w:cs="仿宋"/>
          <w:color w:val="auto"/>
          <w:kern w:val="0"/>
          <w:sz w:val="28"/>
          <w:szCs w:val="28"/>
          <w:highlight w:val="none"/>
          <w:lang w:eastAsia="zh-CN"/>
        </w:rPr>
        <w:t>https://www.hrbcqjys.com/</w:t>
      </w:r>
      <w:r>
        <w:rPr>
          <w:rFonts w:hint="eastAsia" w:ascii="仿宋" w:hAnsi="仿宋" w:eastAsia="仿宋" w:cs="仿宋"/>
          <w:color w:val="auto"/>
          <w:kern w:val="0"/>
          <w:sz w:val="28"/>
          <w:szCs w:val="28"/>
          <w:highlight w:val="none"/>
        </w:rPr>
        <w:t>）；</w:t>
      </w:r>
    </w:p>
    <w:p w14:paraId="42557445">
      <w:pPr>
        <w:widowControl/>
        <w:shd w:val="clear" w:color="auto" w:fill="FFFFFF"/>
        <w:spacing w:line="24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哈尔滨市公共资源交易中心（</w:t>
      </w:r>
      <w:r>
        <w:rPr>
          <w:rFonts w:hint="eastAsia" w:ascii="仿宋" w:hAnsi="仿宋" w:eastAsia="仿宋" w:cs="仿宋"/>
          <w:color w:val="auto"/>
          <w:kern w:val="0"/>
          <w:sz w:val="28"/>
          <w:szCs w:val="28"/>
          <w:highlight w:val="none"/>
          <w:lang w:eastAsia="zh-CN"/>
        </w:rPr>
        <w:t>https://hrbggzy.harbin.gov.cn</w:t>
      </w:r>
      <w:r>
        <w:rPr>
          <w:rFonts w:hint="eastAsia" w:ascii="仿宋" w:hAnsi="仿宋" w:eastAsia="仿宋" w:cs="仿宋"/>
          <w:color w:val="auto"/>
          <w:kern w:val="0"/>
          <w:sz w:val="28"/>
          <w:szCs w:val="28"/>
          <w:highlight w:val="none"/>
        </w:rPr>
        <w:t>）上发布。</w:t>
      </w:r>
    </w:p>
    <w:p w14:paraId="29A6F655">
      <w:pPr>
        <w:widowControl/>
        <w:shd w:val="clear" w:color="auto" w:fill="FFFFFF"/>
        <w:spacing w:line="24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八、其他</w:t>
      </w:r>
    </w:p>
    <w:p w14:paraId="501F05F6">
      <w:pPr>
        <w:widowControl/>
        <w:shd w:val="clear" w:color="auto" w:fill="FFFFFF"/>
        <w:spacing w:line="24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潜在投标人或者其他利害关系人对本招标公告有异议的，应当在文件获取受理期间以书面形式向招标人提出，书面异议材料应由法定代表人或授权委托代理人签字并加盖单位公章，招标人将在收到异议之日起3日内作出答复。潜在投标人或者其他利害关系人捏造事实、伪造材料进行异议和恶意缠诉的，将严格按照国家及省市有关规定严肃处理，给他人造成损失的，依法承担赔偿责任</w:t>
      </w:r>
      <w:r>
        <w:rPr>
          <w:rFonts w:hint="eastAsia" w:ascii="仿宋" w:hAnsi="仿宋" w:eastAsia="仿宋" w:cs="仿宋"/>
          <w:color w:val="auto"/>
          <w:kern w:val="0"/>
          <w:sz w:val="28"/>
          <w:szCs w:val="28"/>
          <w:highlight w:val="none"/>
          <w:lang w:eastAsia="zh-CN"/>
        </w:rPr>
        <w:t>。</w:t>
      </w:r>
    </w:p>
    <w:p w14:paraId="554EF00B">
      <w:pPr>
        <w:widowControl/>
        <w:shd w:val="clear" w:color="auto" w:fill="FFFFFF"/>
        <w:spacing w:line="240" w:lineRule="auto"/>
        <w:jc w:val="left"/>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九、联系方式</w:t>
      </w:r>
    </w:p>
    <w:p w14:paraId="3069C719">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招标人：哈尔滨建工建设有限公司</w:t>
      </w:r>
    </w:p>
    <w:p w14:paraId="7C767FA7">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联系人：张工  联系方式：15846511694</w:t>
      </w:r>
    </w:p>
    <w:p w14:paraId="5CF1B698">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招标代理机构：中达同舟工程咨询有限公司</w:t>
      </w:r>
    </w:p>
    <w:p w14:paraId="6D7B0FFC">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地  址：哈尔滨市道里区中国工艺文化创意园黑龙江（外滩1898）A4栋2单元11层</w:t>
      </w:r>
    </w:p>
    <w:p w14:paraId="13124E83">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联系人：高先生</w:t>
      </w:r>
    </w:p>
    <w:p w14:paraId="3B6651B5">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电话：0451-86626306-809</w:t>
      </w:r>
    </w:p>
    <w:p w14:paraId="0E182FD9">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电子邮箱：</w:t>
      </w: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HYPERLINK "mailto:tzzx2010@163.com" </w:instrText>
      </w:r>
      <w:r>
        <w:rPr>
          <w:rFonts w:hint="eastAsia" w:ascii="仿宋" w:hAnsi="仿宋" w:eastAsia="仿宋" w:cs="仿宋"/>
          <w:color w:val="auto"/>
          <w:kern w:val="0"/>
          <w:sz w:val="28"/>
          <w:szCs w:val="28"/>
          <w:highlight w:val="none"/>
          <w:lang w:val="en-US" w:eastAsia="zh-CN"/>
        </w:rPr>
        <w:fldChar w:fldCharType="separate"/>
      </w:r>
      <w:r>
        <w:rPr>
          <w:rStyle w:val="53"/>
          <w:rFonts w:hint="eastAsia" w:ascii="仿宋" w:hAnsi="仿宋" w:eastAsia="仿宋" w:cs="仿宋"/>
          <w:kern w:val="0"/>
          <w:sz w:val="28"/>
          <w:szCs w:val="28"/>
          <w:highlight w:val="none"/>
          <w:lang w:val="en-US" w:eastAsia="zh-CN"/>
        </w:rPr>
        <w:t>tzzx2010@163.com</w:t>
      </w:r>
      <w:r>
        <w:rPr>
          <w:rFonts w:hint="eastAsia" w:ascii="仿宋" w:hAnsi="仿宋" w:eastAsia="仿宋" w:cs="仿宋"/>
          <w:color w:val="auto"/>
          <w:kern w:val="0"/>
          <w:sz w:val="28"/>
          <w:szCs w:val="28"/>
          <w:highlight w:val="none"/>
          <w:lang w:val="en-US" w:eastAsia="zh-CN"/>
        </w:rPr>
        <w:fldChar w:fldCharType="end"/>
      </w:r>
    </w:p>
    <w:p w14:paraId="42FA9E50">
      <w:pPr>
        <w:widowControl/>
        <w:shd w:val="clear" w:color="auto" w:fill="FFFFFF"/>
        <w:spacing w:line="240" w:lineRule="auto"/>
        <w:ind w:firstLine="700" w:firstLineChars="25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系统操作咨询电话：0451-84642034</w:t>
      </w:r>
    </w:p>
    <w:p w14:paraId="3F458F6D">
      <w:pPr>
        <w:rPr>
          <w:rFonts w:ascii="黑体" w:hAnsi="黑体" w:eastAsia="黑体" w:cs="宋体"/>
          <w:color w:val="auto"/>
          <w:kern w:val="0"/>
          <w:sz w:val="24"/>
          <w:szCs w:val="24"/>
          <w:highlight w:val="none"/>
          <w:u w:val="single"/>
        </w:rPr>
      </w:pPr>
      <w:r>
        <w:rPr>
          <w:rFonts w:ascii="黑体" w:hAnsi="黑体" w:eastAsia="黑体" w:cs="宋体"/>
          <w:color w:val="auto"/>
          <w:kern w:val="0"/>
          <w:sz w:val="24"/>
          <w:szCs w:val="24"/>
          <w:highlight w:val="none"/>
          <w:u w:val="single"/>
        </w:rPr>
        <w:br w:type="page"/>
      </w:r>
    </w:p>
    <w:p w14:paraId="16D60EE8">
      <w:pPr>
        <w:pStyle w:val="57"/>
      </w:pPr>
    </w:p>
    <w:p w14:paraId="1E70D0B2">
      <w:pPr>
        <w:widowControl/>
        <w:shd w:val="clear" w:color="auto" w:fill="FFFFFF"/>
        <w:jc w:val="center"/>
        <w:rPr>
          <w:rFonts w:ascii="黑体" w:hAnsi="黑体" w:eastAsia="黑体" w:cs="宋体"/>
          <w:color w:val="auto"/>
          <w:kern w:val="0"/>
          <w:sz w:val="24"/>
          <w:szCs w:val="24"/>
          <w:highlight w:val="none"/>
          <w:u w:val="single"/>
        </w:rPr>
      </w:pPr>
    </w:p>
    <w:p w14:paraId="37251838">
      <w:pPr>
        <w:jc w:val="both"/>
        <w:rPr>
          <w:rFonts w:eastAsia="黑体"/>
          <w:color w:val="auto"/>
          <w:sz w:val="48"/>
          <w:szCs w:val="48"/>
          <w:highlight w:val="none"/>
        </w:rPr>
      </w:pPr>
    </w:p>
    <w:p w14:paraId="1A03AB4A">
      <w:pPr>
        <w:jc w:val="center"/>
        <w:rPr>
          <w:rFonts w:eastAsia="黑体"/>
          <w:color w:val="auto"/>
          <w:sz w:val="48"/>
          <w:szCs w:val="48"/>
          <w:highlight w:val="none"/>
        </w:rPr>
      </w:pPr>
    </w:p>
    <w:p w14:paraId="07EE970C">
      <w:pPr>
        <w:jc w:val="center"/>
        <w:rPr>
          <w:rFonts w:eastAsia="黑体"/>
          <w:color w:val="auto"/>
          <w:sz w:val="48"/>
          <w:szCs w:val="48"/>
          <w:highlight w:val="none"/>
        </w:rPr>
      </w:pPr>
    </w:p>
    <w:p w14:paraId="3B5F7CE7">
      <w:pPr>
        <w:jc w:val="center"/>
        <w:rPr>
          <w:rFonts w:eastAsia="黑体"/>
          <w:color w:val="auto"/>
          <w:sz w:val="48"/>
          <w:szCs w:val="48"/>
          <w:highlight w:val="none"/>
        </w:rPr>
      </w:pPr>
    </w:p>
    <w:p w14:paraId="0F0FCDA8">
      <w:pPr>
        <w:rPr>
          <w:rFonts w:eastAsia="黑体"/>
          <w:color w:val="auto"/>
          <w:sz w:val="48"/>
          <w:szCs w:val="48"/>
          <w:highlight w:val="none"/>
        </w:rPr>
      </w:pPr>
    </w:p>
    <w:p w14:paraId="3F11A166">
      <w:pPr>
        <w:jc w:val="center"/>
        <w:rPr>
          <w:rFonts w:eastAsia="黑体"/>
          <w:color w:val="auto"/>
          <w:sz w:val="48"/>
          <w:szCs w:val="48"/>
          <w:highlight w:val="none"/>
        </w:rPr>
      </w:pPr>
    </w:p>
    <w:p w14:paraId="533E0253">
      <w:pPr>
        <w:jc w:val="center"/>
        <w:rPr>
          <w:rFonts w:eastAsia="黑体"/>
          <w:color w:val="auto"/>
          <w:sz w:val="48"/>
          <w:szCs w:val="48"/>
          <w:highlight w:val="none"/>
        </w:rPr>
      </w:pPr>
    </w:p>
    <w:p w14:paraId="4D96464C">
      <w:pPr>
        <w:jc w:val="center"/>
        <w:rPr>
          <w:rFonts w:eastAsia="黑体"/>
          <w:color w:val="auto"/>
          <w:sz w:val="48"/>
          <w:szCs w:val="48"/>
          <w:highlight w:val="none"/>
        </w:rPr>
      </w:pPr>
    </w:p>
    <w:p w14:paraId="03867BAA">
      <w:pPr>
        <w:jc w:val="center"/>
        <w:rPr>
          <w:rFonts w:eastAsia="黑体"/>
          <w:color w:val="auto"/>
          <w:sz w:val="48"/>
          <w:szCs w:val="48"/>
          <w:highlight w:val="none"/>
        </w:rPr>
      </w:pPr>
    </w:p>
    <w:p w14:paraId="5B6F4358">
      <w:pPr>
        <w:jc w:val="center"/>
        <w:rPr>
          <w:rFonts w:eastAsia="黑体"/>
          <w:color w:val="auto"/>
          <w:sz w:val="48"/>
          <w:szCs w:val="48"/>
          <w:highlight w:val="none"/>
        </w:rPr>
      </w:pPr>
    </w:p>
    <w:p w14:paraId="5497CAC6">
      <w:pPr>
        <w:jc w:val="center"/>
        <w:rPr>
          <w:rFonts w:eastAsia="黑体"/>
          <w:color w:val="auto"/>
          <w:sz w:val="48"/>
          <w:szCs w:val="48"/>
          <w:highlight w:val="none"/>
        </w:rPr>
      </w:pPr>
    </w:p>
    <w:p w14:paraId="2589F8A3">
      <w:pPr>
        <w:jc w:val="center"/>
        <w:rPr>
          <w:rFonts w:eastAsia="黑体"/>
          <w:color w:val="auto"/>
          <w:sz w:val="48"/>
          <w:szCs w:val="48"/>
          <w:highlight w:val="none"/>
        </w:rPr>
      </w:pPr>
      <w:r>
        <w:rPr>
          <w:rFonts w:eastAsia="黑体"/>
          <w:color w:val="auto"/>
          <w:sz w:val="48"/>
          <w:szCs w:val="48"/>
          <w:highlight w:val="none"/>
        </w:rPr>
        <w:t>第二章</w:t>
      </w:r>
      <w:r>
        <w:rPr>
          <w:rFonts w:hint="eastAsia" w:eastAsia="黑体"/>
          <w:color w:val="auto"/>
          <w:sz w:val="48"/>
          <w:szCs w:val="48"/>
          <w:highlight w:val="none"/>
        </w:rPr>
        <w:t xml:space="preserve">  </w:t>
      </w:r>
      <w:r>
        <w:rPr>
          <w:rFonts w:eastAsia="黑体"/>
          <w:color w:val="auto"/>
          <w:sz w:val="48"/>
          <w:szCs w:val="48"/>
          <w:highlight w:val="none"/>
        </w:rPr>
        <w:t>投标人须知</w:t>
      </w:r>
    </w:p>
    <w:p w14:paraId="71D258E6">
      <w:pPr>
        <w:spacing w:line="600" w:lineRule="exact"/>
        <w:jc w:val="center"/>
        <w:rPr>
          <w:rFonts w:eastAsia="黑体"/>
          <w:color w:val="auto"/>
          <w:sz w:val="32"/>
          <w:szCs w:val="32"/>
          <w:highlight w:val="none"/>
        </w:rPr>
      </w:pPr>
      <w:r>
        <w:rPr>
          <w:rFonts w:eastAsia="黑体"/>
          <w:color w:val="auto"/>
          <w:sz w:val="28"/>
          <w:szCs w:val="28"/>
          <w:highlight w:val="none"/>
        </w:rPr>
        <w:br w:type="page"/>
      </w:r>
      <w:r>
        <w:rPr>
          <w:rFonts w:eastAsia="黑体"/>
          <w:color w:val="auto"/>
          <w:sz w:val="32"/>
          <w:szCs w:val="32"/>
          <w:highlight w:val="none"/>
        </w:rPr>
        <w:t>第二章</w:t>
      </w:r>
      <w:r>
        <w:rPr>
          <w:rFonts w:hint="eastAsia" w:eastAsia="黑体"/>
          <w:color w:val="auto"/>
          <w:sz w:val="32"/>
          <w:szCs w:val="32"/>
          <w:highlight w:val="none"/>
        </w:rPr>
        <w:t xml:space="preserve"> </w:t>
      </w:r>
      <w:r>
        <w:rPr>
          <w:rFonts w:eastAsia="黑体"/>
          <w:color w:val="auto"/>
          <w:sz w:val="32"/>
          <w:szCs w:val="32"/>
          <w:highlight w:val="none"/>
        </w:rPr>
        <w:t>投标人须知</w:t>
      </w:r>
    </w:p>
    <w:p w14:paraId="581EB0AA">
      <w:pPr>
        <w:spacing w:before="120" w:beforeLines="50" w:after="120" w:afterLines="50" w:line="500" w:lineRule="exact"/>
        <w:outlineLvl w:val="0"/>
        <w:rPr>
          <w:rFonts w:eastAsia="黑体"/>
          <w:color w:val="auto"/>
          <w:sz w:val="28"/>
          <w:szCs w:val="28"/>
          <w:highlight w:val="none"/>
        </w:rPr>
      </w:pPr>
      <w:r>
        <w:rPr>
          <w:rFonts w:eastAsia="黑体"/>
          <w:color w:val="auto"/>
          <w:sz w:val="28"/>
          <w:szCs w:val="28"/>
          <w:highlight w:val="none"/>
        </w:rPr>
        <w:t>投标人须知前附表</w:t>
      </w:r>
    </w:p>
    <w:tbl>
      <w:tblPr>
        <w:tblStyle w:val="45"/>
        <w:tblW w:w="9087"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9"/>
        <w:gridCol w:w="1829"/>
        <w:gridCol w:w="6289"/>
      </w:tblGrid>
      <w:tr w14:paraId="23193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69" w:type="dxa"/>
            <w:tcBorders>
              <w:top w:val="single" w:color="auto" w:sz="4" w:space="0"/>
              <w:left w:val="single" w:color="auto" w:sz="4" w:space="0"/>
              <w:bottom w:val="single" w:color="auto" w:sz="4" w:space="0"/>
              <w:right w:val="single" w:color="auto" w:sz="4" w:space="0"/>
            </w:tcBorders>
            <w:vAlign w:val="center"/>
          </w:tcPr>
          <w:p w14:paraId="61B19356">
            <w:pPr>
              <w:adjustRightInd w:val="0"/>
              <w:snapToGrid w:val="0"/>
              <w:spacing w:line="43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w:t>
            </w:r>
          </w:p>
        </w:tc>
        <w:tc>
          <w:tcPr>
            <w:tcW w:w="1829" w:type="dxa"/>
            <w:tcBorders>
              <w:top w:val="single" w:color="auto" w:sz="4" w:space="0"/>
              <w:left w:val="single" w:color="auto" w:sz="4" w:space="0"/>
              <w:bottom w:val="single" w:color="auto" w:sz="4" w:space="0"/>
              <w:right w:val="single" w:color="auto" w:sz="4" w:space="0"/>
            </w:tcBorders>
            <w:vAlign w:val="center"/>
          </w:tcPr>
          <w:p w14:paraId="40475663">
            <w:pPr>
              <w:adjustRightInd w:val="0"/>
              <w:snapToGrid w:val="0"/>
              <w:spacing w:line="43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内容</w:t>
            </w:r>
          </w:p>
        </w:tc>
        <w:tc>
          <w:tcPr>
            <w:tcW w:w="6289" w:type="dxa"/>
            <w:tcBorders>
              <w:top w:val="single" w:color="auto" w:sz="4" w:space="0"/>
              <w:left w:val="single" w:color="auto" w:sz="4" w:space="0"/>
              <w:bottom w:val="single" w:color="auto" w:sz="4" w:space="0"/>
              <w:right w:val="single" w:color="auto" w:sz="4" w:space="0"/>
            </w:tcBorders>
            <w:vAlign w:val="center"/>
          </w:tcPr>
          <w:p w14:paraId="57CA1C4B">
            <w:pPr>
              <w:tabs>
                <w:tab w:val="left" w:pos="1180"/>
              </w:tabs>
              <w:adjustRightInd w:val="0"/>
              <w:snapToGrid w:val="0"/>
              <w:spacing w:line="43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说明与要求</w:t>
            </w:r>
          </w:p>
        </w:tc>
      </w:tr>
      <w:tr w14:paraId="053D7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72BBBD4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1.1.1</w:t>
            </w:r>
          </w:p>
        </w:tc>
        <w:tc>
          <w:tcPr>
            <w:tcW w:w="1829" w:type="dxa"/>
            <w:tcBorders>
              <w:top w:val="single" w:color="auto" w:sz="4" w:space="0"/>
              <w:left w:val="single" w:color="auto" w:sz="4" w:space="0"/>
              <w:bottom w:val="single" w:color="auto" w:sz="4" w:space="0"/>
              <w:right w:val="single" w:color="auto" w:sz="4" w:space="0"/>
            </w:tcBorders>
            <w:vAlign w:val="center"/>
          </w:tcPr>
          <w:p w14:paraId="52CB37F8">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招标人名称</w:t>
            </w:r>
          </w:p>
        </w:tc>
        <w:tc>
          <w:tcPr>
            <w:tcW w:w="6289" w:type="dxa"/>
            <w:tcBorders>
              <w:top w:val="single" w:color="auto" w:sz="4" w:space="0"/>
              <w:left w:val="single" w:color="auto" w:sz="4" w:space="0"/>
              <w:bottom w:val="single" w:color="auto" w:sz="4" w:space="0"/>
              <w:right w:val="single" w:color="auto" w:sz="4" w:space="0"/>
            </w:tcBorders>
            <w:vAlign w:val="center"/>
          </w:tcPr>
          <w:p w14:paraId="579DB735">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招标人：哈尔滨建工建设有限公司</w:t>
            </w:r>
          </w:p>
          <w:p w14:paraId="0B101ED9">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rPr>
              <w:t>联系人：张工</w:t>
            </w:r>
          </w:p>
          <w:p w14:paraId="6CD05F6D">
            <w:pPr>
              <w:spacing w:line="420" w:lineRule="exact"/>
              <w:ind w:firstLine="210" w:firstLineChars="100"/>
              <w:rPr>
                <w:rFonts w:hint="eastAsia"/>
                <w:highlight w:val="none"/>
                <w:lang w:eastAsia="zh-CN"/>
              </w:rPr>
            </w:pPr>
            <w:r>
              <w:rPr>
                <w:rFonts w:hint="eastAsia" w:ascii="宋体" w:hAnsi="宋体"/>
                <w:color w:val="auto"/>
                <w:szCs w:val="21"/>
                <w:highlight w:val="none"/>
              </w:rPr>
              <w:t>联系方式：15846511694</w:t>
            </w:r>
          </w:p>
        </w:tc>
      </w:tr>
      <w:tr w14:paraId="4DB2F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69" w:type="dxa"/>
            <w:tcBorders>
              <w:top w:val="single" w:color="auto" w:sz="4" w:space="0"/>
              <w:left w:val="single" w:color="auto" w:sz="4" w:space="0"/>
              <w:bottom w:val="single" w:color="auto" w:sz="4" w:space="0"/>
              <w:right w:val="single" w:color="auto" w:sz="4" w:space="0"/>
            </w:tcBorders>
            <w:vAlign w:val="center"/>
          </w:tcPr>
          <w:p w14:paraId="25FE36AC">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1.1.3</w:t>
            </w:r>
          </w:p>
        </w:tc>
        <w:tc>
          <w:tcPr>
            <w:tcW w:w="1829" w:type="dxa"/>
            <w:tcBorders>
              <w:top w:val="single" w:color="auto" w:sz="4" w:space="0"/>
              <w:left w:val="single" w:color="auto" w:sz="4" w:space="0"/>
              <w:bottom w:val="single" w:color="auto" w:sz="4" w:space="0"/>
              <w:right w:val="single" w:color="auto" w:sz="4" w:space="0"/>
            </w:tcBorders>
            <w:vAlign w:val="center"/>
          </w:tcPr>
          <w:p w14:paraId="29E21C1B">
            <w:pPr>
              <w:adjustRightInd w:val="0"/>
              <w:snapToGrid w:val="0"/>
              <w:spacing w:line="43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招标代理机构</w:t>
            </w:r>
          </w:p>
        </w:tc>
        <w:tc>
          <w:tcPr>
            <w:tcW w:w="6289" w:type="dxa"/>
            <w:tcBorders>
              <w:top w:val="single" w:color="auto" w:sz="4" w:space="0"/>
              <w:left w:val="single" w:color="auto" w:sz="4" w:space="0"/>
              <w:bottom w:val="single" w:color="auto" w:sz="4" w:space="0"/>
              <w:right w:val="single" w:color="auto" w:sz="4" w:space="0"/>
            </w:tcBorders>
            <w:vAlign w:val="center"/>
          </w:tcPr>
          <w:p w14:paraId="079EDF82">
            <w:pPr>
              <w:widowControl/>
              <w:shd w:val="clear" w:color="auto" w:fill="FFFFFF"/>
              <w:adjustRightInd/>
              <w:snapToGrid/>
              <w:spacing w:line="43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招标代理机构：中达同舟工程咨询有限公司</w:t>
            </w:r>
          </w:p>
          <w:p w14:paraId="478FE5E6">
            <w:pPr>
              <w:widowControl/>
              <w:shd w:val="clear" w:color="auto" w:fill="FFFFFF"/>
              <w:adjustRightInd/>
              <w:snapToGrid/>
              <w:spacing w:line="43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地  址：哈尔滨市道里区中国工艺文化创意园黑龙江（外滩1898）A4栋2单元11层</w:t>
            </w:r>
          </w:p>
          <w:p w14:paraId="353E1A97">
            <w:pPr>
              <w:widowControl/>
              <w:shd w:val="clear" w:color="auto" w:fill="FFFFFF"/>
              <w:adjustRightInd/>
              <w:snapToGrid/>
              <w:spacing w:line="43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联系人：高先生</w:t>
            </w:r>
          </w:p>
          <w:p w14:paraId="78694C50">
            <w:pPr>
              <w:widowControl/>
              <w:shd w:val="clear" w:color="auto" w:fill="FFFFFF"/>
              <w:adjustRightInd/>
              <w:snapToGrid/>
              <w:spacing w:line="43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电话：0451-86626306-809</w:t>
            </w:r>
          </w:p>
          <w:p w14:paraId="24716FA6">
            <w:pPr>
              <w:widowControl/>
              <w:shd w:val="clear" w:color="auto" w:fill="FFFFFF"/>
              <w:adjustRightInd/>
              <w:snapToGrid/>
              <w:spacing w:line="430" w:lineRule="exact"/>
              <w:ind w:firstLine="210" w:firstLineChars="100"/>
              <w:jc w:val="left"/>
              <w:rPr>
                <w:rFonts w:hint="eastAsia" w:asciiTheme="minorEastAsia" w:hAnsiTheme="minorEastAsia" w:eastAsiaTheme="minorEastAsia"/>
                <w:color w:val="auto"/>
                <w:szCs w:val="21"/>
                <w:highlight w:val="none"/>
                <w:lang w:val="en-US" w:eastAsia="zh-CN"/>
              </w:rPr>
            </w:pPr>
            <w:r>
              <w:rPr>
                <w:rFonts w:hint="eastAsia" w:ascii="宋体" w:hAnsi="宋体"/>
                <w:color w:val="auto"/>
                <w:szCs w:val="21"/>
                <w:highlight w:val="none"/>
              </w:rPr>
              <w:t>电子邮箱：tzzx2010@163.com</w:t>
            </w:r>
          </w:p>
        </w:tc>
      </w:tr>
      <w:tr w14:paraId="05AA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9" w:type="dxa"/>
            <w:tcBorders>
              <w:top w:val="single" w:color="auto" w:sz="4" w:space="0"/>
              <w:left w:val="single" w:color="auto" w:sz="4" w:space="0"/>
              <w:bottom w:val="single" w:color="auto" w:sz="4" w:space="0"/>
              <w:right w:val="single" w:color="auto" w:sz="4" w:space="0"/>
            </w:tcBorders>
            <w:vAlign w:val="center"/>
          </w:tcPr>
          <w:p w14:paraId="1FD66763">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1.1.4</w:t>
            </w:r>
          </w:p>
        </w:tc>
        <w:tc>
          <w:tcPr>
            <w:tcW w:w="1829" w:type="dxa"/>
            <w:tcBorders>
              <w:top w:val="single" w:color="auto" w:sz="4" w:space="0"/>
              <w:left w:val="single" w:color="auto" w:sz="4" w:space="0"/>
              <w:bottom w:val="single" w:color="auto" w:sz="4" w:space="0"/>
              <w:right w:val="single" w:color="auto" w:sz="4" w:space="0"/>
            </w:tcBorders>
            <w:vAlign w:val="center"/>
          </w:tcPr>
          <w:p w14:paraId="0129CC4A">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tc>
        <w:tc>
          <w:tcPr>
            <w:tcW w:w="6289" w:type="dxa"/>
            <w:tcBorders>
              <w:top w:val="single" w:color="auto" w:sz="4" w:space="0"/>
              <w:left w:val="single" w:color="auto" w:sz="4" w:space="0"/>
              <w:bottom w:val="single" w:color="auto" w:sz="4" w:space="0"/>
              <w:right w:val="single" w:color="auto" w:sz="4" w:space="0"/>
            </w:tcBorders>
            <w:vAlign w:val="center"/>
          </w:tcPr>
          <w:p w14:paraId="774DC423">
            <w:pPr>
              <w:widowControl/>
              <w:shd w:val="clear" w:color="auto" w:fill="FFFFFF"/>
              <w:adjustRightInd/>
              <w:snapToGrid/>
              <w:spacing w:line="430" w:lineRule="exact"/>
              <w:ind w:firstLine="210" w:firstLineChars="10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平房区新华村(三家子屯)城中村改造项目回迁安置工程项目施工(第一阶段)-电梯采购及安装</w:t>
            </w:r>
          </w:p>
        </w:tc>
      </w:tr>
      <w:tr w14:paraId="30D01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9" w:type="dxa"/>
            <w:tcBorders>
              <w:top w:val="single" w:color="auto" w:sz="4" w:space="0"/>
              <w:left w:val="single" w:color="auto" w:sz="4" w:space="0"/>
              <w:bottom w:val="single" w:color="auto" w:sz="4" w:space="0"/>
              <w:right w:val="single" w:color="auto" w:sz="4" w:space="0"/>
            </w:tcBorders>
            <w:vAlign w:val="center"/>
          </w:tcPr>
          <w:p w14:paraId="279275DF">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1.1.5</w:t>
            </w:r>
          </w:p>
        </w:tc>
        <w:tc>
          <w:tcPr>
            <w:tcW w:w="1829" w:type="dxa"/>
            <w:tcBorders>
              <w:top w:val="single" w:color="auto" w:sz="4" w:space="0"/>
              <w:left w:val="single" w:color="auto" w:sz="4" w:space="0"/>
              <w:bottom w:val="single" w:color="auto" w:sz="4" w:space="0"/>
              <w:right w:val="single" w:color="auto" w:sz="4" w:space="0"/>
            </w:tcBorders>
            <w:vAlign w:val="center"/>
          </w:tcPr>
          <w:p w14:paraId="522C84BD">
            <w:pPr>
              <w:adjustRightInd w:val="0"/>
              <w:snapToGrid w:val="0"/>
              <w:spacing w:line="430" w:lineRule="exact"/>
              <w:jc w:val="center"/>
              <w:rPr>
                <w:rFonts w:hint="eastAsia" w:asciiTheme="minorEastAsia" w:hAnsiTheme="minorEastAsia" w:eastAsiaTheme="minorEastAsia"/>
                <w:color w:val="auto"/>
                <w:kern w:val="0"/>
                <w:szCs w:val="21"/>
                <w:highlight w:val="none"/>
                <w:lang w:eastAsia="zh-CN"/>
              </w:rPr>
            </w:pPr>
            <w:r>
              <w:rPr>
                <w:rFonts w:hint="eastAsia" w:ascii="宋体" w:hAnsi="宋体" w:cs="宋体"/>
                <w:color w:val="auto"/>
                <w:kern w:val="0"/>
                <w:sz w:val="21"/>
                <w:szCs w:val="21"/>
                <w:highlight w:val="none"/>
                <w:lang w:val="en-US" w:eastAsia="zh-CN"/>
              </w:rPr>
              <w:t>供货地点</w:t>
            </w:r>
          </w:p>
        </w:tc>
        <w:tc>
          <w:tcPr>
            <w:tcW w:w="6289" w:type="dxa"/>
            <w:tcBorders>
              <w:top w:val="single" w:color="auto" w:sz="4" w:space="0"/>
              <w:left w:val="single" w:color="auto" w:sz="4" w:space="0"/>
              <w:bottom w:val="single" w:color="auto" w:sz="4" w:space="0"/>
              <w:right w:val="single" w:color="auto" w:sz="4" w:space="0"/>
            </w:tcBorders>
            <w:vAlign w:val="center"/>
          </w:tcPr>
          <w:p w14:paraId="648990F9">
            <w:pPr>
              <w:widowControl/>
              <w:shd w:val="clear" w:color="auto" w:fill="FFFFFF"/>
              <w:adjustRightInd/>
              <w:snapToGrid/>
              <w:spacing w:line="430" w:lineRule="exact"/>
              <w:ind w:firstLine="210" w:firstLineChars="1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招标人指定地点</w:t>
            </w:r>
          </w:p>
        </w:tc>
      </w:tr>
      <w:tr w14:paraId="2E314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9" w:type="dxa"/>
            <w:tcBorders>
              <w:top w:val="single" w:color="auto" w:sz="4" w:space="0"/>
              <w:left w:val="single" w:color="auto" w:sz="4" w:space="0"/>
              <w:bottom w:val="single" w:color="auto" w:sz="4" w:space="0"/>
              <w:right w:val="single" w:color="auto" w:sz="4" w:space="0"/>
            </w:tcBorders>
            <w:vAlign w:val="center"/>
          </w:tcPr>
          <w:p w14:paraId="1318193D">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1.2.1</w:t>
            </w:r>
          </w:p>
        </w:tc>
        <w:tc>
          <w:tcPr>
            <w:tcW w:w="1829" w:type="dxa"/>
            <w:tcBorders>
              <w:top w:val="single" w:color="auto" w:sz="4" w:space="0"/>
              <w:left w:val="single" w:color="auto" w:sz="4" w:space="0"/>
              <w:bottom w:val="single" w:color="auto" w:sz="4" w:space="0"/>
              <w:right w:val="single" w:color="auto" w:sz="4" w:space="0"/>
            </w:tcBorders>
            <w:vAlign w:val="center"/>
          </w:tcPr>
          <w:p w14:paraId="21CD9DF3">
            <w:pPr>
              <w:adjustRightInd w:val="0"/>
              <w:snapToGrid w:val="0"/>
              <w:spacing w:line="430" w:lineRule="exact"/>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资金来源及比例</w:t>
            </w:r>
          </w:p>
        </w:tc>
        <w:tc>
          <w:tcPr>
            <w:tcW w:w="6289" w:type="dxa"/>
            <w:tcBorders>
              <w:top w:val="single" w:color="auto" w:sz="4" w:space="0"/>
              <w:left w:val="single" w:color="auto" w:sz="4" w:space="0"/>
              <w:bottom w:val="single" w:color="auto" w:sz="4" w:space="0"/>
              <w:right w:val="single" w:color="auto" w:sz="4" w:space="0"/>
            </w:tcBorders>
            <w:vAlign w:val="center"/>
          </w:tcPr>
          <w:p w14:paraId="73C67233">
            <w:pPr>
              <w:widowControl/>
              <w:shd w:val="clear" w:color="auto" w:fill="FFFFFF"/>
              <w:adjustRightInd/>
              <w:snapToGrid/>
              <w:spacing w:line="430" w:lineRule="exact"/>
              <w:ind w:firstLine="210" w:firstLineChars="1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自筹资金</w:t>
            </w:r>
          </w:p>
        </w:tc>
      </w:tr>
      <w:tr w14:paraId="16FE0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969" w:type="dxa"/>
            <w:tcBorders>
              <w:top w:val="single" w:color="auto" w:sz="4" w:space="0"/>
              <w:left w:val="single" w:color="auto" w:sz="4" w:space="0"/>
              <w:bottom w:val="single" w:color="auto" w:sz="4" w:space="0"/>
              <w:right w:val="single" w:color="auto" w:sz="4" w:space="0"/>
            </w:tcBorders>
            <w:vAlign w:val="center"/>
          </w:tcPr>
          <w:p w14:paraId="1D9FDBEE">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w:t>
            </w:r>
          </w:p>
        </w:tc>
        <w:tc>
          <w:tcPr>
            <w:tcW w:w="1829" w:type="dxa"/>
            <w:tcBorders>
              <w:top w:val="single" w:color="auto" w:sz="4" w:space="0"/>
              <w:left w:val="single" w:color="auto" w:sz="4" w:space="0"/>
              <w:bottom w:val="single" w:color="auto" w:sz="4" w:space="0"/>
              <w:right w:val="single" w:color="auto" w:sz="4" w:space="0"/>
            </w:tcBorders>
            <w:vAlign w:val="center"/>
          </w:tcPr>
          <w:p w14:paraId="7D9B0643">
            <w:pPr>
              <w:adjustRightInd w:val="0"/>
              <w:snapToGrid w:val="0"/>
              <w:spacing w:line="430" w:lineRule="exact"/>
              <w:jc w:val="center"/>
              <w:rPr>
                <w:rFonts w:hint="default" w:asciiTheme="minorEastAsia" w:hAnsiTheme="minorEastAsia" w:eastAsiaTheme="minorEastAsia"/>
                <w:color w:val="auto"/>
                <w:kern w:val="0"/>
                <w:szCs w:val="21"/>
                <w:highlight w:val="none"/>
                <w:lang w:val="en-US" w:eastAsia="zh-CN"/>
              </w:rPr>
            </w:pPr>
            <w:r>
              <w:rPr>
                <w:rFonts w:hint="eastAsia" w:ascii="宋体" w:hAnsi="宋体" w:cs="宋体"/>
                <w:color w:val="auto"/>
                <w:szCs w:val="21"/>
                <w:highlight w:val="none"/>
              </w:rPr>
              <w:t>资金落实情况</w:t>
            </w:r>
          </w:p>
        </w:tc>
        <w:tc>
          <w:tcPr>
            <w:tcW w:w="6289" w:type="dxa"/>
            <w:tcBorders>
              <w:top w:val="single" w:color="auto" w:sz="4" w:space="0"/>
              <w:left w:val="single" w:color="auto" w:sz="4" w:space="0"/>
              <w:bottom w:val="single" w:color="auto" w:sz="4" w:space="0"/>
              <w:right w:val="single" w:color="auto" w:sz="4" w:space="0"/>
            </w:tcBorders>
            <w:vAlign w:val="center"/>
          </w:tcPr>
          <w:p w14:paraId="2D66C9B9">
            <w:pPr>
              <w:widowControl/>
              <w:shd w:val="clear" w:color="auto" w:fill="FFFFFF"/>
              <w:adjustRightInd/>
              <w:snapToGrid/>
              <w:spacing w:line="430" w:lineRule="exact"/>
              <w:ind w:firstLine="210" w:firstLineChars="1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已落实</w:t>
            </w:r>
          </w:p>
        </w:tc>
      </w:tr>
      <w:tr w14:paraId="6FE58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69" w:type="dxa"/>
            <w:tcBorders>
              <w:top w:val="single" w:color="auto" w:sz="4" w:space="0"/>
              <w:left w:val="single" w:color="auto" w:sz="4" w:space="0"/>
              <w:bottom w:val="single" w:color="auto" w:sz="4" w:space="0"/>
              <w:right w:val="single" w:color="auto" w:sz="4" w:space="0"/>
            </w:tcBorders>
            <w:vAlign w:val="center"/>
          </w:tcPr>
          <w:p w14:paraId="3CEC3306">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1.2.3</w:t>
            </w:r>
          </w:p>
        </w:tc>
        <w:tc>
          <w:tcPr>
            <w:tcW w:w="1829" w:type="dxa"/>
            <w:tcBorders>
              <w:top w:val="single" w:color="auto" w:sz="4" w:space="0"/>
              <w:left w:val="single" w:color="auto" w:sz="4" w:space="0"/>
              <w:bottom w:val="single" w:color="auto" w:sz="4" w:space="0"/>
              <w:right w:val="single" w:color="auto" w:sz="4" w:space="0"/>
            </w:tcBorders>
            <w:vAlign w:val="center"/>
          </w:tcPr>
          <w:p w14:paraId="6BDC62AA">
            <w:pPr>
              <w:adjustRightInd w:val="0"/>
              <w:snapToGrid w:val="0"/>
              <w:spacing w:line="430" w:lineRule="exact"/>
              <w:jc w:val="center"/>
              <w:rPr>
                <w:rFonts w:hint="default" w:asciiTheme="minorEastAsia" w:hAnsiTheme="minorEastAsia" w:eastAsiaTheme="minorEastAsia"/>
                <w:color w:val="auto"/>
                <w:kern w:val="0"/>
                <w:szCs w:val="21"/>
                <w:highlight w:val="none"/>
                <w:lang w:val="en-US"/>
              </w:rPr>
            </w:pPr>
            <w:r>
              <w:rPr>
                <w:rFonts w:hint="eastAsia" w:asciiTheme="minorEastAsia" w:hAnsiTheme="minorEastAsia" w:eastAsiaTheme="minorEastAsia"/>
                <w:color w:val="auto"/>
                <w:szCs w:val="21"/>
                <w:highlight w:val="none"/>
                <w:lang w:val="en-US" w:eastAsia="zh-CN"/>
              </w:rPr>
              <w:t>付款方式</w:t>
            </w:r>
          </w:p>
        </w:tc>
        <w:tc>
          <w:tcPr>
            <w:tcW w:w="6289" w:type="dxa"/>
            <w:tcBorders>
              <w:top w:val="single" w:color="auto" w:sz="4" w:space="0"/>
              <w:left w:val="single" w:color="auto" w:sz="4" w:space="0"/>
              <w:bottom w:val="single" w:color="auto" w:sz="4" w:space="0"/>
              <w:right w:val="single" w:color="auto" w:sz="4" w:space="0"/>
            </w:tcBorders>
            <w:vAlign w:val="center"/>
          </w:tcPr>
          <w:p w14:paraId="55181953">
            <w:pPr>
              <w:widowControl/>
              <w:shd w:val="clear" w:color="auto" w:fill="FFFFFF"/>
              <w:adjustRightInd/>
              <w:snapToGrid/>
              <w:spacing w:line="430" w:lineRule="exact"/>
              <w:ind w:firstLine="210" w:firstLineChars="100"/>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具体约定以签订合同条款为准</w:t>
            </w:r>
          </w:p>
        </w:tc>
      </w:tr>
      <w:tr w14:paraId="1BC25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69" w:type="dxa"/>
            <w:tcBorders>
              <w:top w:val="single" w:color="auto" w:sz="4" w:space="0"/>
              <w:left w:val="single" w:color="auto" w:sz="4" w:space="0"/>
              <w:bottom w:val="single" w:color="auto" w:sz="4" w:space="0"/>
              <w:right w:val="single" w:color="auto" w:sz="4" w:space="0"/>
            </w:tcBorders>
            <w:vAlign w:val="center"/>
          </w:tcPr>
          <w:p w14:paraId="1558BC17">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1.3.1</w:t>
            </w:r>
          </w:p>
        </w:tc>
        <w:tc>
          <w:tcPr>
            <w:tcW w:w="1829" w:type="dxa"/>
            <w:tcBorders>
              <w:top w:val="single" w:color="auto" w:sz="4" w:space="0"/>
              <w:left w:val="single" w:color="auto" w:sz="4" w:space="0"/>
              <w:bottom w:val="single" w:color="auto" w:sz="4" w:space="0"/>
              <w:right w:val="single" w:color="auto" w:sz="4" w:space="0"/>
            </w:tcBorders>
            <w:vAlign w:val="center"/>
          </w:tcPr>
          <w:p w14:paraId="3454F69F">
            <w:pPr>
              <w:adjustRightInd w:val="0"/>
              <w:snapToGrid w:val="0"/>
              <w:spacing w:line="43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采购内容及范围</w:t>
            </w:r>
          </w:p>
        </w:tc>
        <w:tc>
          <w:tcPr>
            <w:tcW w:w="6289" w:type="dxa"/>
            <w:tcBorders>
              <w:top w:val="single" w:color="auto" w:sz="4" w:space="0"/>
              <w:left w:val="single" w:color="auto" w:sz="4" w:space="0"/>
              <w:bottom w:val="single" w:color="auto" w:sz="4" w:space="0"/>
              <w:right w:val="single" w:color="auto" w:sz="4" w:space="0"/>
            </w:tcBorders>
            <w:vAlign w:val="center"/>
          </w:tcPr>
          <w:p w14:paraId="715AAB0B">
            <w:pPr>
              <w:widowControl/>
              <w:shd w:val="clear" w:color="auto" w:fill="FFFFFF"/>
              <w:adjustRightInd/>
              <w:snapToGrid/>
              <w:spacing w:line="430" w:lineRule="exact"/>
              <w:ind w:firstLine="210" w:firstLineChars="10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平客梯3台，具体数量及技术要求详见招标文件</w:t>
            </w:r>
          </w:p>
        </w:tc>
      </w:tr>
      <w:tr w14:paraId="51293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969" w:type="dxa"/>
            <w:tcBorders>
              <w:top w:val="single" w:color="auto" w:sz="4" w:space="0"/>
              <w:left w:val="single" w:color="auto" w:sz="4" w:space="0"/>
              <w:bottom w:val="single" w:color="auto" w:sz="4" w:space="0"/>
              <w:right w:val="single" w:color="auto" w:sz="4" w:space="0"/>
            </w:tcBorders>
            <w:vAlign w:val="center"/>
          </w:tcPr>
          <w:p w14:paraId="2A2786CE">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1.3.2</w:t>
            </w:r>
          </w:p>
        </w:tc>
        <w:tc>
          <w:tcPr>
            <w:tcW w:w="1829" w:type="dxa"/>
            <w:tcBorders>
              <w:top w:val="single" w:color="auto" w:sz="4" w:space="0"/>
              <w:left w:val="single" w:color="auto" w:sz="4" w:space="0"/>
              <w:bottom w:val="single" w:color="auto" w:sz="4" w:space="0"/>
              <w:right w:val="single" w:color="auto" w:sz="4" w:space="0"/>
            </w:tcBorders>
            <w:vAlign w:val="center"/>
          </w:tcPr>
          <w:p w14:paraId="32E205D5">
            <w:pPr>
              <w:adjustRightInd w:val="0"/>
              <w:snapToGrid w:val="0"/>
              <w:spacing w:line="43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供货时间</w:t>
            </w:r>
          </w:p>
        </w:tc>
        <w:tc>
          <w:tcPr>
            <w:tcW w:w="6289" w:type="dxa"/>
            <w:tcBorders>
              <w:top w:val="single" w:color="auto" w:sz="4" w:space="0"/>
              <w:left w:val="single" w:color="auto" w:sz="4" w:space="0"/>
              <w:bottom w:val="single" w:color="auto" w:sz="4" w:space="0"/>
              <w:right w:val="single" w:color="auto" w:sz="4" w:space="0"/>
            </w:tcBorders>
            <w:vAlign w:val="center"/>
          </w:tcPr>
          <w:p w14:paraId="1D4ED2C0">
            <w:pPr>
              <w:widowControl/>
              <w:shd w:val="clear" w:color="auto" w:fill="FFFFFF"/>
              <w:adjustRightInd/>
              <w:snapToGrid/>
              <w:spacing w:line="430" w:lineRule="exact"/>
              <w:ind w:firstLine="210" w:firstLineChars="10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共90日历天，配合总包单位进行预埋，技术支持、电梯生产安装及调试等相关工作;安装调试完成后30日内验收完毕(含取证)。具体以甲方正式通知为准并应满足甲方工程进度要求，工期须满足总包总体进度计划要求。（实际工期开始时间以招标人指令为准）。</w:t>
            </w:r>
          </w:p>
        </w:tc>
      </w:tr>
      <w:tr w14:paraId="2EF04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1" w:hRule="atLeast"/>
        </w:trPr>
        <w:tc>
          <w:tcPr>
            <w:tcW w:w="969" w:type="dxa"/>
            <w:tcBorders>
              <w:top w:val="single" w:color="auto" w:sz="4" w:space="0"/>
              <w:left w:val="single" w:color="auto" w:sz="4" w:space="0"/>
              <w:bottom w:val="single" w:color="auto" w:sz="4" w:space="0"/>
              <w:right w:val="single" w:color="auto" w:sz="4" w:space="0"/>
            </w:tcBorders>
            <w:vAlign w:val="center"/>
          </w:tcPr>
          <w:p w14:paraId="64E2703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1.3.3</w:t>
            </w:r>
          </w:p>
        </w:tc>
        <w:tc>
          <w:tcPr>
            <w:tcW w:w="1829" w:type="dxa"/>
            <w:tcBorders>
              <w:top w:val="single" w:color="auto" w:sz="4" w:space="0"/>
              <w:left w:val="single" w:color="auto" w:sz="4" w:space="0"/>
              <w:bottom w:val="single" w:color="auto" w:sz="4" w:space="0"/>
              <w:right w:val="single" w:color="auto" w:sz="4" w:space="0"/>
            </w:tcBorders>
            <w:vAlign w:val="center"/>
          </w:tcPr>
          <w:p w14:paraId="67C42C1C">
            <w:pPr>
              <w:adjustRightInd w:val="0"/>
              <w:snapToGrid w:val="0"/>
              <w:spacing w:line="43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质量标准</w:t>
            </w:r>
          </w:p>
        </w:tc>
        <w:tc>
          <w:tcPr>
            <w:tcW w:w="6289" w:type="dxa"/>
            <w:tcBorders>
              <w:top w:val="single" w:color="auto" w:sz="4" w:space="0"/>
              <w:left w:val="single" w:color="auto" w:sz="4" w:space="0"/>
              <w:bottom w:val="single" w:color="auto" w:sz="4" w:space="0"/>
              <w:right w:val="single" w:color="auto" w:sz="4" w:space="0"/>
            </w:tcBorders>
            <w:vAlign w:val="center"/>
          </w:tcPr>
          <w:p w14:paraId="5F30D7C5">
            <w:pPr>
              <w:widowControl/>
              <w:shd w:val="clear" w:color="auto" w:fill="FFFFFF"/>
              <w:adjustRightInd/>
              <w:snapToGrid/>
              <w:spacing w:line="430" w:lineRule="exact"/>
              <w:ind w:firstLine="210" w:firstLineChars="10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现行国家、行业、质量验收标准以及相关专业验收规范的合格标准。注：电梯产品质量、性能指标、安装质量、维修保养、装饰装修及售后服务等必须达到国家现行规范和规定标准。其中：①安装调试完成后需通过政府相关职能部门的验收要求，并取得国家质量监督检验部门颁发的《电梯验收检验报告》及《电梯检验合格证》等相应的文件证明。②电梯的主要性能指标指安全性、可靠性、舒适感和快速性、停站准确性、振动、噪音及电磁干扰、节能和装璜等必须达到国家现行规范和规定标准，满足施工图纸的相关设计要求。</w:t>
            </w:r>
          </w:p>
        </w:tc>
      </w:tr>
      <w:tr w14:paraId="0B0BA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69" w:type="dxa"/>
            <w:tcBorders>
              <w:top w:val="single" w:color="auto" w:sz="4" w:space="0"/>
              <w:left w:val="single" w:color="auto" w:sz="4" w:space="0"/>
              <w:bottom w:val="single" w:color="auto" w:sz="4" w:space="0"/>
              <w:right w:val="single" w:color="auto" w:sz="4" w:space="0"/>
            </w:tcBorders>
            <w:vAlign w:val="center"/>
          </w:tcPr>
          <w:p w14:paraId="753D362D">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1.4.1</w:t>
            </w:r>
          </w:p>
        </w:tc>
        <w:tc>
          <w:tcPr>
            <w:tcW w:w="1829" w:type="dxa"/>
            <w:tcBorders>
              <w:top w:val="single" w:color="auto" w:sz="4" w:space="0"/>
              <w:left w:val="single" w:color="auto" w:sz="4" w:space="0"/>
              <w:bottom w:val="single" w:color="auto" w:sz="4" w:space="0"/>
              <w:right w:val="single" w:color="auto" w:sz="4" w:space="0"/>
            </w:tcBorders>
            <w:vAlign w:val="center"/>
          </w:tcPr>
          <w:p w14:paraId="75CAA798">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投标人资质条件、能力、信誉　　</w:t>
            </w:r>
          </w:p>
        </w:tc>
        <w:tc>
          <w:tcPr>
            <w:tcW w:w="6289" w:type="dxa"/>
            <w:tcBorders>
              <w:top w:val="single" w:color="auto" w:sz="4" w:space="0"/>
              <w:left w:val="single" w:color="auto" w:sz="4" w:space="0"/>
              <w:bottom w:val="single" w:color="auto" w:sz="4" w:space="0"/>
              <w:right w:val="single" w:color="auto" w:sz="4" w:space="0"/>
            </w:tcBorders>
            <w:vAlign w:val="center"/>
          </w:tcPr>
          <w:p w14:paraId="678704FA">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210" w:firstLineChars="100"/>
              <w:jc w:val="left"/>
              <w:textAlignment w:val="auto"/>
              <w:rPr>
                <w:rFonts w:hint="default" w:asciiTheme="minorEastAsia" w:hAnsiTheme="minorEastAsia" w:eastAsiaTheme="minorEastAsia"/>
                <w:b/>
                <w:color w:val="auto"/>
                <w:szCs w:val="21"/>
                <w:highlight w:val="none"/>
                <w:lang w:val="en-US" w:eastAsia="zh-CN"/>
              </w:rPr>
            </w:pPr>
            <w:r>
              <w:rPr>
                <w:rFonts w:hint="default" w:asciiTheme="minorEastAsia" w:hAnsiTheme="minorEastAsia" w:eastAsiaTheme="minorEastAsia"/>
                <w:b w:val="0"/>
                <w:bCs/>
                <w:color w:val="auto"/>
                <w:szCs w:val="21"/>
                <w:highlight w:val="none"/>
                <w:lang w:val="en-US" w:eastAsia="zh-CN"/>
              </w:rPr>
              <w:t>详见“第一章-招标公告-投标人资格要求”</w:t>
            </w:r>
          </w:p>
        </w:tc>
      </w:tr>
      <w:tr w14:paraId="4C5EA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969" w:type="dxa"/>
            <w:tcBorders>
              <w:top w:val="single" w:color="auto" w:sz="4" w:space="0"/>
              <w:left w:val="single" w:color="auto" w:sz="4" w:space="0"/>
              <w:bottom w:val="single" w:color="auto" w:sz="4" w:space="0"/>
              <w:right w:val="single" w:color="auto" w:sz="4" w:space="0"/>
            </w:tcBorders>
            <w:vAlign w:val="center"/>
          </w:tcPr>
          <w:p w14:paraId="6E979F1F">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1.4.2</w:t>
            </w:r>
          </w:p>
        </w:tc>
        <w:tc>
          <w:tcPr>
            <w:tcW w:w="1829" w:type="dxa"/>
            <w:tcBorders>
              <w:top w:val="single" w:color="auto" w:sz="4" w:space="0"/>
              <w:left w:val="single" w:color="auto" w:sz="4" w:space="0"/>
              <w:bottom w:val="single" w:color="auto" w:sz="4" w:space="0"/>
              <w:right w:val="single" w:color="auto" w:sz="4" w:space="0"/>
            </w:tcBorders>
            <w:vAlign w:val="center"/>
          </w:tcPr>
          <w:p w14:paraId="1F0C250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是否接受联合体投标</w:t>
            </w:r>
          </w:p>
        </w:tc>
        <w:tc>
          <w:tcPr>
            <w:tcW w:w="6289" w:type="dxa"/>
            <w:tcBorders>
              <w:top w:val="single" w:color="auto" w:sz="4" w:space="0"/>
              <w:left w:val="single" w:color="auto" w:sz="4" w:space="0"/>
              <w:bottom w:val="single" w:color="auto" w:sz="4" w:space="0"/>
              <w:right w:val="single" w:color="auto" w:sz="4" w:space="0"/>
            </w:tcBorders>
            <w:vAlign w:val="center"/>
          </w:tcPr>
          <w:p w14:paraId="5729FC63">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▉不接受</w:t>
            </w:r>
          </w:p>
          <w:p w14:paraId="4157164B">
            <w:pPr>
              <w:adjustRightInd w:val="0"/>
              <w:snapToGrid w:val="0"/>
              <w:spacing w:line="430" w:lineRule="exact"/>
              <w:ind w:firstLine="210" w:firstLineChars="1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接受，应满足下列要求：</w:t>
            </w:r>
            <w:r>
              <w:rPr>
                <w:rFonts w:hint="eastAsia" w:asciiTheme="minorEastAsia" w:hAnsiTheme="minorEastAsia" w:eastAsiaTheme="minorEastAsia"/>
                <w:color w:val="auto"/>
                <w:szCs w:val="21"/>
                <w:highlight w:val="none"/>
                <w:lang w:eastAsia="zh-CN"/>
              </w:rPr>
              <w:t>本项目不允许联合体投标</w:t>
            </w:r>
          </w:p>
        </w:tc>
      </w:tr>
      <w:tr w14:paraId="46BD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969" w:type="dxa"/>
            <w:tcBorders>
              <w:top w:val="single" w:color="auto" w:sz="4" w:space="0"/>
              <w:left w:val="single" w:color="auto" w:sz="4" w:space="0"/>
              <w:bottom w:val="single" w:color="auto" w:sz="4" w:space="0"/>
              <w:right w:val="single" w:color="auto" w:sz="4" w:space="0"/>
            </w:tcBorders>
            <w:vAlign w:val="center"/>
          </w:tcPr>
          <w:p w14:paraId="71A69598">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1.4.3</w:t>
            </w:r>
          </w:p>
        </w:tc>
        <w:tc>
          <w:tcPr>
            <w:tcW w:w="1829" w:type="dxa"/>
            <w:tcBorders>
              <w:top w:val="single" w:color="auto" w:sz="4" w:space="0"/>
              <w:left w:val="single" w:color="auto" w:sz="4" w:space="0"/>
              <w:bottom w:val="single" w:color="auto" w:sz="4" w:space="0"/>
              <w:right w:val="single" w:color="auto" w:sz="4" w:space="0"/>
            </w:tcBorders>
            <w:vAlign w:val="center"/>
          </w:tcPr>
          <w:p w14:paraId="2BDF637F">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投标人不得存在的其他情形</w:t>
            </w:r>
          </w:p>
        </w:tc>
        <w:tc>
          <w:tcPr>
            <w:tcW w:w="6289" w:type="dxa"/>
            <w:tcBorders>
              <w:top w:val="single" w:color="auto" w:sz="4" w:space="0"/>
              <w:left w:val="single" w:color="auto" w:sz="4" w:space="0"/>
              <w:bottom w:val="single" w:color="auto" w:sz="4" w:space="0"/>
              <w:right w:val="single" w:color="auto" w:sz="4" w:space="0"/>
            </w:tcBorders>
            <w:vAlign w:val="center"/>
          </w:tcPr>
          <w:p w14:paraId="6A8FC61D">
            <w:pPr>
              <w:adjustRightInd w:val="0"/>
              <w:snapToGrid w:val="0"/>
              <w:spacing w:line="430" w:lineRule="exact"/>
              <w:rPr>
                <w:rFonts w:asciiTheme="minorEastAsia" w:hAnsiTheme="minorEastAsia" w:eastAsiaTheme="minorEastAsia"/>
                <w:color w:val="auto"/>
                <w:szCs w:val="21"/>
                <w:highlight w:val="none"/>
                <w:shd w:val="clear" w:color="auto" w:fill="FFFFFF"/>
              </w:rPr>
            </w:pPr>
            <w:r>
              <w:rPr>
                <w:rFonts w:asciiTheme="minorEastAsia" w:hAnsiTheme="minorEastAsia" w:eastAsiaTheme="minorEastAsia"/>
                <w:color w:val="auto"/>
                <w:kern w:val="0"/>
                <w:szCs w:val="21"/>
                <w:highlight w:val="none"/>
              </w:rPr>
              <w:t>/</w:t>
            </w:r>
          </w:p>
        </w:tc>
      </w:tr>
      <w:tr w14:paraId="5F69C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969" w:type="dxa"/>
            <w:tcBorders>
              <w:top w:val="single" w:color="auto" w:sz="4" w:space="0"/>
              <w:left w:val="single" w:color="auto" w:sz="4" w:space="0"/>
              <w:bottom w:val="single" w:color="auto" w:sz="4" w:space="0"/>
              <w:right w:val="single" w:color="auto" w:sz="4" w:space="0"/>
            </w:tcBorders>
            <w:vAlign w:val="center"/>
          </w:tcPr>
          <w:p w14:paraId="17B0EABF">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1.9.1</w:t>
            </w:r>
          </w:p>
        </w:tc>
        <w:tc>
          <w:tcPr>
            <w:tcW w:w="1829" w:type="dxa"/>
            <w:tcBorders>
              <w:top w:val="single" w:color="auto" w:sz="4" w:space="0"/>
              <w:left w:val="single" w:color="auto" w:sz="4" w:space="0"/>
              <w:bottom w:val="single" w:color="auto" w:sz="4" w:space="0"/>
              <w:right w:val="single" w:color="auto" w:sz="4" w:space="0"/>
            </w:tcBorders>
            <w:vAlign w:val="center"/>
          </w:tcPr>
          <w:p w14:paraId="14884928">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踏勘现场</w:t>
            </w:r>
          </w:p>
        </w:tc>
        <w:tc>
          <w:tcPr>
            <w:tcW w:w="6289" w:type="dxa"/>
            <w:tcBorders>
              <w:top w:val="single" w:color="auto" w:sz="4" w:space="0"/>
              <w:left w:val="single" w:color="auto" w:sz="4" w:space="0"/>
              <w:bottom w:val="single" w:color="auto" w:sz="4" w:space="0"/>
              <w:right w:val="single" w:color="auto" w:sz="4" w:space="0"/>
            </w:tcBorders>
            <w:vAlign w:val="center"/>
          </w:tcPr>
          <w:p w14:paraId="5BED7FC4">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▉不组织</w:t>
            </w:r>
          </w:p>
          <w:p w14:paraId="0083A6BA">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□组织，踏勘时间：</w:t>
            </w:r>
            <w:r>
              <w:rPr>
                <w:rFonts w:asciiTheme="minorEastAsia" w:hAnsiTheme="minorEastAsia" w:eastAsiaTheme="minorEastAsia"/>
                <w:color w:val="auto"/>
                <w:szCs w:val="21"/>
                <w:highlight w:val="none"/>
              </w:rPr>
              <w:t xml:space="preserve"> </w:t>
            </w:r>
          </w:p>
          <w:p w14:paraId="0060FE7E">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踏勘集中地点：</w:t>
            </w:r>
          </w:p>
        </w:tc>
      </w:tr>
      <w:tr w14:paraId="483E5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969" w:type="dxa"/>
            <w:tcBorders>
              <w:top w:val="single" w:color="auto" w:sz="4" w:space="0"/>
              <w:left w:val="single" w:color="auto" w:sz="4" w:space="0"/>
              <w:bottom w:val="single" w:color="auto" w:sz="4" w:space="0"/>
              <w:right w:val="single" w:color="auto" w:sz="4" w:space="0"/>
            </w:tcBorders>
            <w:vAlign w:val="center"/>
          </w:tcPr>
          <w:p w14:paraId="7145956B">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1.10</w:t>
            </w:r>
          </w:p>
        </w:tc>
        <w:tc>
          <w:tcPr>
            <w:tcW w:w="1829" w:type="dxa"/>
            <w:tcBorders>
              <w:top w:val="single" w:color="auto" w:sz="4" w:space="0"/>
              <w:left w:val="single" w:color="auto" w:sz="4" w:space="0"/>
              <w:bottom w:val="single" w:color="auto" w:sz="4" w:space="0"/>
              <w:right w:val="single" w:color="auto" w:sz="4" w:space="0"/>
            </w:tcBorders>
            <w:vAlign w:val="center"/>
          </w:tcPr>
          <w:p w14:paraId="50C3BCB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投标预备会议</w:t>
            </w:r>
          </w:p>
        </w:tc>
        <w:tc>
          <w:tcPr>
            <w:tcW w:w="6289" w:type="dxa"/>
            <w:tcBorders>
              <w:top w:val="single" w:color="auto" w:sz="4" w:space="0"/>
              <w:left w:val="single" w:color="auto" w:sz="4" w:space="0"/>
              <w:bottom w:val="single" w:color="auto" w:sz="4" w:space="0"/>
              <w:right w:val="single" w:color="auto" w:sz="4" w:space="0"/>
            </w:tcBorders>
            <w:vAlign w:val="center"/>
          </w:tcPr>
          <w:p w14:paraId="5BB9D42C">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▉不召开</w:t>
            </w:r>
          </w:p>
          <w:p w14:paraId="29ADBFB1">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□召开，召开时间：</w:t>
            </w:r>
          </w:p>
          <w:p w14:paraId="454B492C">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rPr>
              <w:t>召开地点：</w:t>
            </w:r>
          </w:p>
        </w:tc>
      </w:tr>
      <w:tr w14:paraId="1A044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69" w:type="dxa"/>
            <w:vMerge w:val="restart"/>
            <w:tcBorders>
              <w:top w:val="single" w:color="auto" w:sz="4" w:space="0"/>
              <w:left w:val="single" w:color="auto" w:sz="4" w:space="0"/>
              <w:right w:val="single" w:color="auto" w:sz="4" w:space="0"/>
            </w:tcBorders>
            <w:vAlign w:val="center"/>
          </w:tcPr>
          <w:p w14:paraId="3E27D256">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1.10.1</w:t>
            </w:r>
          </w:p>
        </w:tc>
        <w:tc>
          <w:tcPr>
            <w:tcW w:w="1829" w:type="dxa"/>
            <w:vMerge w:val="restart"/>
            <w:tcBorders>
              <w:top w:val="single" w:color="auto" w:sz="4" w:space="0"/>
              <w:left w:val="single" w:color="auto" w:sz="4" w:space="0"/>
              <w:right w:val="single" w:color="auto" w:sz="4" w:space="0"/>
            </w:tcBorders>
            <w:vAlign w:val="center"/>
          </w:tcPr>
          <w:p w14:paraId="0BC9BCF2">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投标人在投标预备会前提出问题</w:t>
            </w:r>
          </w:p>
        </w:tc>
        <w:tc>
          <w:tcPr>
            <w:tcW w:w="6289" w:type="dxa"/>
            <w:tcBorders>
              <w:top w:val="single" w:color="auto" w:sz="4" w:space="0"/>
              <w:left w:val="single" w:color="auto" w:sz="4" w:space="0"/>
              <w:bottom w:val="single" w:color="auto" w:sz="4" w:space="0"/>
              <w:right w:val="single" w:color="auto" w:sz="4" w:space="0"/>
            </w:tcBorders>
            <w:vAlign w:val="center"/>
          </w:tcPr>
          <w:p w14:paraId="47EB9E1D">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时间：</w:t>
            </w:r>
            <w:r>
              <w:rPr>
                <w:rFonts w:asciiTheme="minorEastAsia" w:hAnsiTheme="minorEastAsia" w:eastAsiaTheme="minorEastAsia"/>
                <w:color w:val="auto"/>
                <w:szCs w:val="21"/>
                <w:highlight w:val="none"/>
                <w:shd w:val="clear" w:color="auto" w:fill="FFFFFF"/>
              </w:rPr>
              <w:t>：/</w:t>
            </w:r>
          </w:p>
        </w:tc>
      </w:tr>
      <w:tr w14:paraId="345AB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69" w:type="dxa"/>
            <w:vMerge w:val="continue"/>
            <w:tcBorders>
              <w:left w:val="single" w:color="auto" w:sz="4" w:space="0"/>
              <w:bottom w:val="single" w:color="auto" w:sz="4" w:space="0"/>
              <w:right w:val="single" w:color="auto" w:sz="4" w:space="0"/>
            </w:tcBorders>
            <w:vAlign w:val="center"/>
          </w:tcPr>
          <w:p w14:paraId="7AEA6F1B">
            <w:pPr>
              <w:adjustRightInd w:val="0"/>
              <w:snapToGrid w:val="0"/>
              <w:spacing w:line="430" w:lineRule="exact"/>
              <w:jc w:val="center"/>
              <w:rPr>
                <w:rFonts w:asciiTheme="minorEastAsia" w:hAnsiTheme="minorEastAsia" w:eastAsiaTheme="minorEastAsia"/>
                <w:color w:val="auto"/>
                <w:szCs w:val="21"/>
                <w:highlight w:val="none"/>
              </w:rPr>
            </w:pPr>
          </w:p>
        </w:tc>
        <w:tc>
          <w:tcPr>
            <w:tcW w:w="1829" w:type="dxa"/>
            <w:vMerge w:val="continue"/>
            <w:tcBorders>
              <w:left w:val="single" w:color="auto" w:sz="4" w:space="0"/>
              <w:bottom w:val="single" w:color="auto" w:sz="4" w:space="0"/>
              <w:right w:val="single" w:color="auto" w:sz="4" w:space="0"/>
            </w:tcBorders>
            <w:vAlign w:val="center"/>
          </w:tcPr>
          <w:p w14:paraId="1732C652">
            <w:pPr>
              <w:adjustRightInd w:val="0"/>
              <w:snapToGrid w:val="0"/>
              <w:spacing w:line="430" w:lineRule="exact"/>
              <w:jc w:val="center"/>
              <w:rPr>
                <w:rFonts w:asciiTheme="minorEastAsia" w:hAnsiTheme="minorEastAsia" w:eastAsiaTheme="minorEastAsia"/>
                <w:color w:val="auto"/>
                <w:szCs w:val="21"/>
                <w:highlight w:val="none"/>
              </w:rPr>
            </w:pPr>
          </w:p>
        </w:tc>
        <w:tc>
          <w:tcPr>
            <w:tcW w:w="6289" w:type="dxa"/>
            <w:tcBorders>
              <w:top w:val="single" w:color="auto" w:sz="4" w:space="0"/>
              <w:left w:val="single" w:color="auto" w:sz="4" w:space="0"/>
              <w:bottom w:val="single" w:color="auto" w:sz="4" w:space="0"/>
              <w:right w:val="single" w:color="auto" w:sz="4" w:space="0"/>
            </w:tcBorders>
            <w:vAlign w:val="center"/>
          </w:tcPr>
          <w:p w14:paraId="595A18BB">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shd w:val="clear" w:color="auto" w:fill="FFFFFF"/>
              </w:rPr>
              <w:t>形式</w:t>
            </w:r>
            <w:r>
              <w:rPr>
                <w:rFonts w:asciiTheme="minorEastAsia" w:hAnsiTheme="minorEastAsia" w:eastAsiaTheme="minorEastAsia"/>
                <w:color w:val="auto"/>
                <w:szCs w:val="21"/>
                <w:highlight w:val="none"/>
                <w:shd w:val="clear" w:color="auto" w:fill="FFFFFF"/>
              </w:rPr>
              <w:t>：/</w:t>
            </w:r>
          </w:p>
        </w:tc>
      </w:tr>
      <w:tr w14:paraId="7B638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69" w:type="dxa"/>
            <w:tcBorders>
              <w:left w:val="single" w:color="auto" w:sz="4" w:space="0"/>
              <w:bottom w:val="single" w:color="auto" w:sz="4" w:space="0"/>
              <w:right w:val="single" w:color="auto" w:sz="4" w:space="0"/>
            </w:tcBorders>
            <w:vAlign w:val="center"/>
          </w:tcPr>
          <w:p w14:paraId="15E11463">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1.11.1</w:t>
            </w:r>
          </w:p>
        </w:tc>
        <w:tc>
          <w:tcPr>
            <w:tcW w:w="1829" w:type="dxa"/>
            <w:tcBorders>
              <w:left w:val="single" w:color="auto" w:sz="4" w:space="0"/>
              <w:bottom w:val="single" w:color="auto" w:sz="4" w:space="0"/>
              <w:right w:val="single" w:color="auto" w:sz="4" w:space="0"/>
            </w:tcBorders>
            <w:vAlign w:val="center"/>
          </w:tcPr>
          <w:p w14:paraId="6A1BF235">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w:t>
            </w:r>
          </w:p>
        </w:tc>
        <w:tc>
          <w:tcPr>
            <w:tcW w:w="6289" w:type="dxa"/>
            <w:tcBorders>
              <w:top w:val="single" w:color="auto" w:sz="4" w:space="0"/>
              <w:left w:val="single" w:color="auto" w:sz="4" w:space="0"/>
              <w:bottom w:val="single" w:color="auto" w:sz="4" w:space="0"/>
              <w:right w:val="single" w:color="auto" w:sz="4" w:space="0"/>
            </w:tcBorders>
            <w:vAlign w:val="center"/>
          </w:tcPr>
          <w:p w14:paraId="4437E597">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▉不允许</w:t>
            </w:r>
          </w:p>
          <w:p w14:paraId="0D691311">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□允许，分包内容要求：</w:t>
            </w:r>
          </w:p>
          <w:p w14:paraId="34AD8273">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分包金额要求：</w:t>
            </w:r>
          </w:p>
          <w:p w14:paraId="74271948">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rPr>
              <w:t>对分包人的资质要求：</w:t>
            </w:r>
          </w:p>
        </w:tc>
      </w:tr>
      <w:tr w14:paraId="56C90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69" w:type="dxa"/>
            <w:tcBorders>
              <w:left w:val="single" w:color="auto" w:sz="4" w:space="0"/>
              <w:bottom w:val="single" w:color="auto" w:sz="4" w:space="0"/>
              <w:right w:val="single" w:color="auto" w:sz="4" w:space="0"/>
            </w:tcBorders>
            <w:vAlign w:val="center"/>
          </w:tcPr>
          <w:p w14:paraId="6683C5B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1.12.1</w:t>
            </w:r>
          </w:p>
        </w:tc>
        <w:tc>
          <w:tcPr>
            <w:tcW w:w="1829" w:type="dxa"/>
            <w:tcBorders>
              <w:left w:val="single" w:color="auto" w:sz="4" w:space="0"/>
              <w:bottom w:val="single" w:color="auto" w:sz="4" w:space="0"/>
              <w:right w:val="single" w:color="auto" w:sz="4" w:space="0"/>
            </w:tcBorders>
            <w:vAlign w:val="center"/>
          </w:tcPr>
          <w:p w14:paraId="2BC746F6">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实质性要求和条件</w:t>
            </w:r>
          </w:p>
        </w:tc>
        <w:tc>
          <w:tcPr>
            <w:tcW w:w="6289" w:type="dxa"/>
            <w:tcBorders>
              <w:top w:val="single" w:color="auto" w:sz="4" w:space="0"/>
              <w:left w:val="single" w:color="auto" w:sz="4" w:space="0"/>
              <w:bottom w:val="single" w:color="auto" w:sz="4" w:space="0"/>
              <w:right w:val="single" w:color="auto" w:sz="4" w:space="0"/>
            </w:tcBorders>
            <w:vAlign w:val="center"/>
          </w:tcPr>
          <w:p w14:paraId="54798AF6">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（1）招标文件有关投标人资格条件、</w:t>
            </w:r>
            <w:r>
              <w:rPr>
                <w:rFonts w:hint="eastAsia" w:asciiTheme="minorEastAsia" w:hAnsiTheme="minorEastAsia" w:eastAsiaTheme="minorEastAsia"/>
                <w:color w:val="auto"/>
                <w:szCs w:val="21"/>
                <w:highlight w:val="none"/>
                <w:lang w:eastAsia="zh-CN"/>
              </w:rPr>
              <w:t>供货时间/服务期限</w:t>
            </w:r>
            <w:r>
              <w:rPr>
                <w:rFonts w:hint="eastAsia" w:asciiTheme="minorEastAsia" w:hAnsiTheme="minorEastAsia" w:eastAsiaTheme="minorEastAsia"/>
                <w:color w:val="auto"/>
                <w:szCs w:val="21"/>
                <w:highlight w:val="none"/>
              </w:rPr>
              <w:t>、投标有效期、</w:t>
            </w:r>
            <w:r>
              <w:rPr>
                <w:rFonts w:hint="eastAsia" w:asciiTheme="minorEastAsia" w:hAnsiTheme="minorEastAsia" w:eastAsiaTheme="minorEastAsia"/>
                <w:color w:val="auto"/>
                <w:szCs w:val="21"/>
                <w:highlight w:val="none"/>
                <w:lang w:eastAsia="zh-CN"/>
              </w:rPr>
              <w:t>质量标准</w:t>
            </w:r>
            <w:r>
              <w:rPr>
                <w:rFonts w:hint="eastAsia" w:asciiTheme="minorEastAsia" w:hAnsiTheme="minorEastAsia" w:eastAsiaTheme="minorEastAsia"/>
                <w:color w:val="auto"/>
                <w:szCs w:val="21"/>
                <w:highlight w:val="none"/>
              </w:rPr>
              <w:t>、委托人要求、</w:t>
            </w:r>
            <w:r>
              <w:rPr>
                <w:rFonts w:hint="eastAsia" w:asciiTheme="minorEastAsia" w:hAnsiTheme="minorEastAsia" w:eastAsiaTheme="minorEastAsia"/>
                <w:color w:val="auto"/>
                <w:szCs w:val="21"/>
                <w:highlight w:val="none"/>
                <w:lang w:eastAsia="zh-CN"/>
              </w:rPr>
              <w:t>采购内容及范围</w:t>
            </w:r>
            <w:r>
              <w:rPr>
                <w:rFonts w:hint="eastAsia" w:asciiTheme="minorEastAsia" w:hAnsiTheme="minorEastAsia" w:eastAsiaTheme="minorEastAsia"/>
                <w:color w:val="auto"/>
                <w:szCs w:val="21"/>
                <w:highlight w:val="none"/>
              </w:rPr>
              <w:t>等，均为实质性要求和条件。</w:t>
            </w:r>
          </w:p>
          <w:p w14:paraId="18E9B664">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rPr>
              <w:t>（2）招标文件第六章“投标文件格式”中的投标函部分及投标承诺部分必须不加删改的全文引用，投标函附录在满足招标文件实质性要求的基础上，可以提出比招标文件要求更有利于招标人的承诺。否则按否决投标处理。</w:t>
            </w:r>
          </w:p>
        </w:tc>
      </w:tr>
      <w:tr w14:paraId="38D80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69" w:type="dxa"/>
            <w:tcBorders>
              <w:left w:val="single" w:color="auto" w:sz="4" w:space="0"/>
              <w:bottom w:val="single" w:color="auto" w:sz="4" w:space="0"/>
              <w:right w:val="single" w:color="auto" w:sz="4" w:space="0"/>
            </w:tcBorders>
            <w:vAlign w:val="center"/>
          </w:tcPr>
          <w:p w14:paraId="58410DB6">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1.12.3</w:t>
            </w:r>
          </w:p>
        </w:tc>
        <w:tc>
          <w:tcPr>
            <w:tcW w:w="1829" w:type="dxa"/>
            <w:tcBorders>
              <w:left w:val="single" w:color="auto" w:sz="4" w:space="0"/>
              <w:bottom w:val="single" w:color="auto" w:sz="4" w:space="0"/>
              <w:right w:val="single" w:color="auto" w:sz="4" w:space="0"/>
            </w:tcBorders>
            <w:vAlign w:val="center"/>
          </w:tcPr>
          <w:p w14:paraId="2607200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偏差</w:t>
            </w:r>
          </w:p>
        </w:tc>
        <w:tc>
          <w:tcPr>
            <w:tcW w:w="6289" w:type="dxa"/>
            <w:tcBorders>
              <w:top w:val="single" w:color="auto" w:sz="4" w:space="0"/>
              <w:left w:val="single" w:color="auto" w:sz="4" w:space="0"/>
              <w:bottom w:val="single" w:color="auto" w:sz="4" w:space="0"/>
              <w:right w:val="single" w:color="auto" w:sz="4" w:space="0"/>
            </w:tcBorders>
            <w:vAlign w:val="center"/>
          </w:tcPr>
          <w:p w14:paraId="54C5E3E2">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▉不允许</w:t>
            </w:r>
          </w:p>
          <w:p w14:paraId="7F84B9D6">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□允许，偏差范围：</w:t>
            </w:r>
          </w:p>
          <w:p w14:paraId="1A6B6FDC">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rPr>
              <w:t>偏差幅度：</w:t>
            </w:r>
          </w:p>
        </w:tc>
      </w:tr>
      <w:tr w14:paraId="1F427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69" w:type="dxa"/>
            <w:tcBorders>
              <w:left w:val="single" w:color="auto" w:sz="4" w:space="0"/>
              <w:bottom w:val="single" w:color="auto" w:sz="4" w:space="0"/>
              <w:right w:val="single" w:color="auto" w:sz="4" w:space="0"/>
            </w:tcBorders>
            <w:vAlign w:val="center"/>
          </w:tcPr>
          <w:p w14:paraId="2536911E">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w:t>
            </w:r>
          </w:p>
        </w:tc>
        <w:tc>
          <w:tcPr>
            <w:tcW w:w="1829" w:type="dxa"/>
            <w:tcBorders>
              <w:left w:val="single" w:color="auto" w:sz="4" w:space="0"/>
              <w:bottom w:val="single" w:color="auto" w:sz="4" w:space="0"/>
              <w:right w:val="single" w:color="auto" w:sz="4" w:space="0"/>
            </w:tcBorders>
            <w:vAlign w:val="center"/>
          </w:tcPr>
          <w:p w14:paraId="77F6CB98">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构成招标文件的其他资料</w:t>
            </w:r>
          </w:p>
        </w:tc>
        <w:tc>
          <w:tcPr>
            <w:tcW w:w="6289" w:type="dxa"/>
            <w:tcBorders>
              <w:top w:val="single" w:color="auto" w:sz="4" w:space="0"/>
              <w:left w:val="single" w:color="auto" w:sz="4" w:space="0"/>
              <w:bottom w:val="single" w:color="auto" w:sz="4" w:space="0"/>
              <w:right w:val="single" w:color="auto" w:sz="4" w:space="0"/>
            </w:tcBorders>
            <w:vAlign w:val="center"/>
          </w:tcPr>
          <w:p w14:paraId="50DA14CC">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Theme="minorEastAsia" w:hAnsiTheme="minorEastAsia" w:eastAsiaTheme="minorEastAsia"/>
                <w:color w:val="auto"/>
                <w:szCs w:val="21"/>
                <w:highlight w:val="none"/>
              </w:rPr>
              <w:t>招标人对招标文件所作的澄清、修改、补充、通知等招标补充文件，构成招标文件的组成部分</w:t>
            </w:r>
          </w:p>
        </w:tc>
      </w:tr>
      <w:tr w14:paraId="65082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9" w:type="dxa"/>
            <w:vMerge w:val="restart"/>
            <w:tcBorders>
              <w:left w:val="single" w:color="auto" w:sz="4" w:space="0"/>
              <w:right w:val="single" w:color="auto" w:sz="4" w:space="0"/>
            </w:tcBorders>
            <w:vAlign w:val="center"/>
          </w:tcPr>
          <w:p w14:paraId="60F4603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w:t>
            </w:r>
          </w:p>
        </w:tc>
        <w:tc>
          <w:tcPr>
            <w:tcW w:w="1829" w:type="dxa"/>
            <w:vMerge w:val="restart"/>
            <w:tcBorders>
              <w:left w:val="single" w:color="auto" w:sz="4" w:space="0"/>
              <w:right w:val="single" w:color="auto" w:sz="4" w:space="0"/>
            </w:tcBorders>
            <w:vAlign w:val="center"/>
          </w:tcPr>
          <w:p w14:paraId="59A024B7">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投标人要求澄清招标文件</w:t>
            </w:r>
          </w:p>
        </w:tc>
        <w:tc>
          <w:tcPr>
            <w:tcW w:w="6289" w:type="dxa"/>
            <w:tcBorders>
              <w:top w:val="single" w:color="auto" w:sz="4" w:space="0"/>
              <w:left w:val="single" w:color="auto" w:sz="4" w:space="0"/>
              <w:bottom w:val="single" w:color="auto" w:sz="4" w:space="0"/>
              <w:right w:val="single" w:color="auto" w:sz="4" w:space="0"/>
            </w:tcBorders>
            <w:vAlign w:val="center"/>
          </w:tcPr>
          <w:p w14:paraId="49D0E49C">
            <w:pPr>
              <w:ind w:firstLine="210" w:firstLineChars="100"/>
              <w:rPr>
                <w:rFonts w:hint="default" w:eastAsia="宋体" w:asciiTheme="minorEastAsia" w:hAnsiTheme="minorEastAsia"/>
                <w:color w:val="auto"/>
                <w:szCs w:val="21"/>
                <w:highlight w:val="none"/>
                <w:shd w:val="clear" w:color="auto" w:fill="FFFFFF"/>
                <w:lang w:val="en-US" w:eastAsia="zh-CN"/>
              </w:rPr>
            </w:pPr>
            <w:r>
              <w:rPr>
                <w:rFonts w:hint="eastAsia"/>
                <w:color w:val="auto"/>
                <w:highlight w:val="none"/>
              </w:rPr>
              <w:t>时间：</w:t>
            </w:r>
            <w:r>
              <w:rPr>
                <w:rFonts w:hint="eastAsia"/>
                <w:color w:val="auto"/>
                <w:highlight w:val="none"/>
                <w:lang w:val="en-US" w:eastAsia="zh-CN"/>
              </w:rPr>
              <w:t>招标文件售卖截止后24小时内。</w:t>
            </w:r>
          </w:p>
        </w:tc>
      </w:tr>
      <w:tr w14:paraId="65D1C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9" w:type="dxa"/>
            <w:vMerge w:val="continue"/>
            <w:tcBorders>
              <w:left w:val="single" w:color="auto" w:sz="4" w:space="0"/>
              <w:bottom w:val="single" w:color="auto" w:sz="4" w:space="0"/>
              <w:right w:val="single" w:color="auto" w:sz="4" w:space="0"/>
            </w:tcBorders>
            <w:vAlign w:val="center"/>
          </w:tcPr>
          <w:p w14:paraId="3AB33398">
            <w:pPr>
              <w:adjustRightInd w:val="0"/>
              <w:snapToGrid w:val="0"/>
              <w:spacing w:line="430" w:lineRule="exact"/>
              <w:jc w:val="center"/>
              <w:rPr>
                <w:rFonts w:asciiTheme="minorEastAsia" w:hAnsiTheme="minorEastAsia" w:eastAsiaTheme="minorEastAsia"/>
                <w:color w:val="auto"/>
                <w:szCs w:val="21"/>
                <w:highlight w:val="none"/>
              </w:rPr>
            </w:pPr>
          </w:p>
        </w:tc>
        <w:tc>
          <w:tcPr>
            <w:tcW w:w="1829" w:type="dxa"/>
            <w:vMerge w:val="continue"/>
            <w:tcBorders>
              <w:left w:val="single" w:color="auto" w:sz="4" w:space="0"/>
              <w:bottom w:val="single" w:color="auto" w:sz="4" w:space="0"/>
              <w:right w:val="single" w:color="auto" w:sz="4" w:space="0"/>
            </w:tcBorders>
            <w:vAlign w:val="center"/>
          </w:tcPr>
          <w:p w14:paraId="5799E277">
            <w:pPr>
              <w:adjustRightInd w:val="0"/>
              <w:snapToGrid w:val="0"/>
              <w:spacing w:line="430" w:lineRule="exact"/>
              <w:jc w:val="center"/>
              <w:rPr>
                <w:rFonts w:asciiTheme="minorEastAsia" w:hAnsiTheme="minorEastAsia" w:eastAsiaTheme="minorEastAsia"/>
                <w:color w:val="auto"/>
                <w:szCs w:val="21"/>
                <w:highlight w:val="none"/>
              </w:rPr>
            </w:pPr>
          </w:p>
        </w:tc>
        <w:tc>
          <w:tcPr>
            <w:tcW w:w="6289" w:type="dxa"/>
            <w:tcBorders>
              <w:top w:val="single" w:color="auto" w:sz="4" w:space="0"/>
              <w:left w:val="single" w:color="auto" w:sz="4" w:space="0"/>
              <w:bottom w:val="single" w:color="auto" w:sz="4" w:space="0"/>
              <w:right w:val="single" w:color="auto" w:sz="4" w:space="0"/>
            </w:tcBorders>
            <w:vAlign w:val="center"/>
          </w:tcPr>
          <w:p w14:paraId="18B63E4D">
            <w:pPr>
              <w:ind w:firstLine="210" w:firstLineChars="100"/>
              <w:rPr>
                <w:rFonts w:asciiTheme="minorEastAsia" w:hAnsiTheme="minorEastAsia" w:eastAsiaTheme="minorEastAsia"/>
                <w:color w:val="auto"/>
                <w:szCs w:val="21"/>
                <w:highlight w:val="none"/>
                <w:shd w:val="clear" w:color="auto" w:fill="FFFFFF"/>
              </w:rPr>
            </w:pPr>
            <w:r>
              <w:rPr>
                <w:rFonts w:hint="eastAsia"/>
                <w:color w:val="auto"/>
                <w:highlight w:val="none"/>
              </w:rPr>
              <w:t>形式：书面形式</w:t>
            </w:r>
          </w:p>
        </w:tc>
      </w:tr>
      <w:tr w14:paraId="33C7B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9" w:type="dxa"/>
            <w:tcBorders>
              <w:left w:val="single" w:color="auto" w:sz="4" w:space="0"/>
              <w:bottom w:val="single" w:color="auto" w:sz="4" w:space="0"/>
              <w:right w:val="single" w:color="auto" w:sz="4" w:space="0"/>
            </w:tcBorders>
            <w:vAlign w:val="center"/>
          </w:tcPr>
          <w:p w14:paraId="6EE5E0A5">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2.2.1</w:t>
            </w:r>
          </w:p>
        </w:tc>
        <w:tc>
          <w:tcPr>
            <w:tcW w:w="1829" w:type="dxa"/>
            <w:tcBorders>
              <w:left w:val="single" w:color="auto" w:sz="4" w:space="0"/>
              <w:bottom w:val="single" w:color="auto" w:sz="4" w:space="0"/>
              <w:right w:val="single" w:color="auto" w:sz="4" w:space="0"/>
            </w:tcBorders>
            <w:vAlign w:val="center"/>
          </w:tcPr>
          <w:p w14:paraId="76F9EEBF">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招标文件澄清发出的形式</w:t>
            </w:r>
          </w:p>
        </w:tc>
        <w:tc>
          <w:tcPr>
            <w:tcW w:w="6289" w:type="dxa"/>
            <w:tcBorders>
              <w:top w:val="single" w:color="auto" w:sz="4" w:space="0"/>
              <w:left w:val="single" w:color="auto" w:sz="4" w:space="0"/>
              <w:bottom w:val="single" w:color="auto" w:sz="4" w:space="0"/>
              <w:right w:val="single" w:color="auto" w:sz="4" w:space="0"/>
            </w:tcBorders>
            <w:vAlign w:val="center"/>
          </w:tcPr>
          <w:p w14:paraId="02489055">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宋体" w:hAnsi="宋体"/>
                <w:color w:val="auto"/>
                <w:szCs w:val="21"/>
                <w:highlight w:val="none"/>
              </w:rPr>
              <w:t>书面形式（澄清公告）</w:t>
            </w:r>
          </w:p>
        </w:tc>
      </w:tr>
      <w:tr w14:paraId="278EC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69" w:type="dxa"/>
            <w:tcBorders>
              <w:left w:val="single" w:color="auto" w:sz="4" w:space="0"/>
              <w:right w:val="single" w:color="auto" w:sz="4" w:space="0"/>
            </w:tcBorders>
            <w:vAlign w:val="center"/>
          </w:tcPr>
          <w:p w14:paraId="63EEC1CF">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3.1</w:t>
            </w:r>
          </w:p>
        </w:tc>
        <w:tc>
          <w:tcPr>
            <w:tcW w:w="1829" w:type="dxa"/>
            <w:tcBorders>
              <w:left w:val="single" w:color="auto" w:sz="4" w:space="0"/>
              <w:right w:val="single" w:color="auto" w:sz="4" w:space="0"/>
            </w:tcBorders>
            <w:vAlign w:val="center"/>
          </w:tcPr>
          <w:p w14:paraId="18FB774B">
            <w:pPr>
              <w:spacing w:line="430" w:lineRule="exact"/>
              <w:jc w:val="center"/>
              <w:rPr>
                <w:rFonts w:asciiTheme="minorEastAsia" w:hAnsiTheme="minorEastAsia" w:eastAsiaTheme="minorEastAsia"/>
                <w:color w:val="auto"/>
                <w:szCs w:val="21"/>
                <w:highlight w:val="none"/>
              </w:rPr>
            </w:pPr>
            <w:r>
              <w:rPr>
                <w:rFonts w:hint="eastAsia" w:ascii="宋体" w:hAnsi="宋体" w:cs="宋体"/>
                <w:color w:val="auto"/>
                <w:szCs w:val="21"/>
                <w:highlight w:val="none"/>
              </w:rPr>
              <w:t>招标文件修改发出形式</w:t>
            </w:r>
          </w:p>
        </w:tc>
        <w:tc>
          <w:tcPr>
            <w:tcW w:w="6289" w:type="dxa"/>
            <w:tcBorders>
              <w:top w:val="single" w:color="auto" w:sz="4" w:space="0"/>
              <w:left w:val="single" w:color="auto" w:sz="4" w:space="0"/>
              <w:right w:val="single" w:color="auto" w:sz="4" w:space="0"/>
            </w:tcBorders>
            <w:vAlign w:val="center"/>
          </w:tcPr>
          <w:p w14:paraId="21DB01CE">
            <w:pPr>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ascii="宋体" w:hAnsi="宋体"/>
                <w:color w:val="auto"/>
                <w:szCs w:val="21"/>
                <w:highlight w:val="none"/>
              </w:rPr>
              <w:t>书面形式（澄清公告）</w:t>
            </w:r>
          </w:p>
        </w:tc>
      </w:tr>
      <w:tr w14:paraId="0A89C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57EF3A9F">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3.1.1</w:t>
            </w:r>
          </w:p>
        </w:tc>
        <w:tc>
          <w:tcPr>
            <w:tcW w:w="1829" w:type="dxa"/>
            <w:tcBorders>
              <w:top w:val="single" w:color="auto" w:sz="4" w:space="0"/>
              <w:left w:val="single" w:color="auto" w:sz="4" w:space="0"/>
              <w:bottom w:val="single" w:color="auto" w:sz="4" w:space="0"/>
              <w:right w:val="single" w:color="auto" w:sz="4" w:space="0"/>
            </w:tcBorders>
            <w:vAlign w:val="center"/>
          </w:tcPr>
          <w:p w14:paraId="10BEA201">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构成投标文件的其他资料</w:t>
            </w:r>
          </w:p>
        </w:tc>
        <w:tc>
          <w:tcPr>
            <w:tcW w:w="6289" w:type="dxa"/>
            <w:tcBorders>
              <w:top w:val="single" w:color="auto" w:sz="4" w:space="0"/>
              <w:left w:val="single" w:color="auto" w:sz="4" w:space="0"/>
              <w:bottom w:val="single" w:color="auto" w:sz="4" w:space="0"/>
              <w:right w:val="single" w:color="auto" w:sz="4" w:space="0"/>
            </w:tcBorders>
            <w:vAlign w:val="center"/>
          </w:tcPr>
          <w:p w14:paraId="00198835">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投标人对招标补充文件的确认函、投标人按照相关规定对投标文件进行修改的内容等有效的投标补充文件均为投标文件的组成部分。</w:t>
            </w:r>
          </w:p>
        </w:tc>
      </w:tr>
      <w:tr w14:paraId="63F0D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6D6D9DE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3.2.1</w:t>
            </w:r>
          </w:p>
        </w:tc>
        <w:tc>
          <w:tcPr>
            <w:tcW w:w="1829" w:type="dxa"/>
            <w:tcBorders>
              <w:top w:val="single" w:color="auto" w:sz="4" w:space="0"/>
              <w:left w:val="single" w:color="auto" w:sz="4" w:space="0"/>
              <w:bottom w:val="single" w:color="auto" w:sz="4" w:space="0"/>
              <w:right w:val="single" w:color="auto" w:sz="4" w:space="0"/>
            </w:tcBorders>
            <w:vAlign w:val="center"/>
          </w:tcPr>
          <w:p w14:paraId="6FD47FEB">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增值税税金的计算方法</w:t>
            </w:r>
          </w:p>
        </w:tc>
        <w:tc>
          <w:tcPr>
            <w:tcW w:w="6289" w:type="dxa"/>
            <w:tcBorders>
              <w:top w:val="single" w:color="auto" w:sz="4" w:space="0"/>
              <w:left w:val="single" w:color="auto" w:sz="4" w:space="0"/>
              <w:bottom w:val="single" w:color="auto" w:sz="4" w:space="0"/>
              <w:right w:val="single" w:color="auto" w:sz="4" w:space="0"/>
            </w:tcBorders>
            <w:vAlign w:val="center"/>
          </w:tcPr>
          <w:p w14:paraId="6B18A6C8">
            <w:pPr>
              <w:pStyle w:val="39"/>
              <w:ind w:firstLine="210" w:firstLineChars="100"/>
              <w:rPr>
                <w:rFonts w:cs="Times New Roman" w:asciiTheme="minorEastAsia" w:hAnsiTheme="minorEastAsia" w:eastAsiaTheme="minorEastAsia"/>
                <w:color w:val="auto"/>
                <w:kern w:val="2"/>
                <w:sz w:val="21"/>
                <w:szCs w:val="21"/>
                <w:highlight w:val="none"/>
              </w:rPr>
            </w:pPr>
            <w:r>
              <w:rPr>
                <w:rFonts w:hint="eastAsia" w:cs="Times New Roman" w:asciiTheme="minorEastAsia" w:hAnsiTheme="minorEastAsia" w:eastAsiaTheme="minorEastAsia"/>
                <w:color w:val="auto"/>
                <w:kern w:val="2"/>
                <w:sz w:val="21"/>
                <w:szCs w:val="21"/>
                <w:highlight w:val="none"/>
              </w:rPr>
              <w:t>采用一般计税方法计税</w:t>
            </w:r>
          </w:p>
        </w:tc>
      </w:tr>
      <w:tr w14:paraId="1AB8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9" w:type="dxa"/>
            <w:tcBorders>
              <w:top w:val="single" w:color="auto" w:sz="4" w:space="0"/>
              <w:left w:val="single" w:color="auto" w:sz="4" w:space="0"/>
              <w:bottom w:val="single" w:color="auto" w:sz="4" w:space="0"/>
              <w:right w:val="single" w:color="auto" w:sz="4" w:space="0"/>
            </w:tcBorders>
            <w:vAlign w:val="center"/>
          </w:tcPr>
          <w:p w14:paraId="33B8122E">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3.2.4</w:t>
            </w:r>
          </w:p>
        </w:tc>
        <w:tc>
          <w:tcPr>
            <w:tcW w:w="1829" w:type="dxa"/>
            <w:tcBorders>
              <w:top w:val="single" w:color="auto" w:sz="4" w:space="0"/>
              <w:left w:val="single" w:color="auto" w:sz="4" w:space="0"/>
              <w:bottom w:val="single" w:color="auto" w:sz="4" w:space="0"/>
              <w:right w:val="single" w:color="auto" w:sz="4" w:space="0"/>
            </w:tcBorders>
            <w:vAlign w:val="center"/>
          </w:tcPr>
          <w:p w14:paraId="153581BC">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最高投标限价</w:t>
            </w:r>
          </w:p>
        </w:tc>
        <w:tc>
          <w:tcPr>
            <w:tcW w:w="6289" w:type="dxa"/>
            <w:tcBorders>
              <w:top w:val="single" w:color="auto" w:sz="4" w:space="0"/>
              <w:left w:val="single" w:color="auto" w:sz="4" w:space="0"/>
              <w:bottom w:val="single" w:color="auto" w:sz="4" w:space="0"/>
              <w:right w:val="single" w:color="auto" w:sz="4" w:space="0"/>
            </w:tcBorders>
            <w:vAlign w:val="center"/>
          </w:tcPr>
          <w:p w14:paraId="7109FABC">
            <w:pPr>
              <w:adjustRightInd w:val="0"/>
              <w:snapToGrid w:val="0"/>
              <w:spacing w:line="430" w:lineRule="exact"/>
              <w:ind w:firstLine="210" w:firstLineChars="1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p w14:paraId="1A42CA85">
            <w:pPr>
              <w:adjustRightInd w:val="0"/>
              <w:snapToGrid w:val="0"/>
              <w:spacing w:line="430" w:lineRule="exact"/>
              <w:ind w:firstLine="210" w:firstLineChars="100"/>
              <w:rPr>
                <w:rFonts w:hint="eastAsia" w:cs="Times New Roman"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■有，最高投标限价：</w:t>
            </w:r>
            <w:r>
              <w:rPr>
                <w:rFonts w:hint="eastAsia" w:asciiTheme="minorEastAsia" w:hAnsiTheme="minorEastAsia" w:eastAsiaTheme="minorEastAsia"/>
                <w:color w:val="auto"/>
                <w:szCs w:val="21"/>
                <w:highlight w:val="none"/>
                <w:lang w:val="en-US" w:eastAsia="zh-CN"/>
              </w:rPr>
              <w:t>632100.00</w:t>
            </w:r>
            <w:r>
              <w:rPr>
                <w:rFonts w:hint="eastAsia" w:asciiTheme="minorEastAsia" w:hAnsiTheme="minorEastAsia" w:eastAsiaTheme="minorEastAsia"/>
                <w:color w:val="auto"/>
                <w:szCs w:val="21"/>
                <w:highlight w:val="none"/>
                <w:lang w:eastAsia="zh-CN"/>
              </w:rPr>
              <w:t>元</w:t>
            </w:r>
          </w:p>
          <w:p w14:paraId="072757B1">
            <w:pPr>
              <w:adjustRightInd w:val="0"/>
              <w:snapToGrid w:val="0"/>
              <w:spacing w:line="430" w:lineRule="exact"/>
              <w:ind w:firstLine="210" w:firstLineChars="1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注：投标报价不得高于（不含等于）招标文件给定的最高投标限价，也不得低于成本报价，否则其投标将被否决。</w:t>
            </w:r>
          </w:p>
        </w:tc>
      </w:tr>
      <w:tr w14:paraId="04D0C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0A068C9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3.2.5</w:t>
            </w:r>
          </w:p>
        </w:tc>
        <w:tc>
          <w:tcPr>
            <w:tcW w:w="1829" w:type="dxa"/>
            <w:tcBorders>
              <w:top w:val="single" w:color="auto" w:sz="4" w:space="0"/>
              <w:left w:val="single" w:color="auto" w:sz="4" w:space="0"/>
              <w:bottom w:val="single" w:color="auto" w:sz="4" w:space="0"/>
              <w:right w:val="single" w:color="auto" w:sz="4" w:space="0"/>
            </w:tcBorders>
            <w:vAlign w:val="center"/>
          </w:tcPr>
          <w:p w14:paraId="3071312D">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投标报价的其他要求</w:t>
            </w:r>
          </w:p>
        </w:tc>
        <w:tc>
          <w:tcPr>
            <w:tcW w:w="6289" w:type="dxa"/>
            <w:tcBorders>
              <w:top w:val="single" w:color="auto" w:sz="4" w:space="0"/>
              <w:left w:val="single" w:color="auto" w:sz="4" w:space="0"/>
              <w:bottom w:val="single" w:color="auto" w:sz="4" w:space="0"/>
              <w:right w:val="single" w:color="auto" w:sz="4" w:space="0"/>
            </w:tcBorders>
            <w:vAlign w:val="center"/>
          </w:tcPr>
          <w:p w14:paraId="78B474D1">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单价及总价报价。</w:t>
            </w:r>
          </w:p>
          <w:p w14:paraId="67C2344F">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（1）报价计算表中的投标总价只允许有一个报价，任何有选择的报价文件将被拒绝。</w:t>
            </w:r>
          </w:p>
          <w:p w14:paraId="6CD9FD9D">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（2）投标报价是经过投标人详细考虑招标文件的各项要求后，包含与完成招标文件及委托合同约定的与本项目有关的全部费用的总报价。</w:t>
            </w:r>
          </w:p>
          <w:p w14:paraId="654CFB97">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（3）投标人应充分考虑到在项目组织、人员安排及进行现场安全、工期、质量等方面将受到的各种不利因素的影响及应承担的风险，并计入投标总报价中。</w:t>
            </w:r>
          </w:p>
          <w:p w14:paraId="2DAD9A93">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（4）工作中所需要的办公用房、办公家具、用品、通信工具、无线上网设备、现场影像摄录设备、交通工具及其他设备、设施等均由投标人自行负责，并包含在投标报价中。</w:t>
            </w:r>
          </w:p>
          <w:p w14:paraId="2CC722ED">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（5）本项目不接受总价让利，也不接受投标备选方案或有选择的报价。如出现任何形式的总价让利、或任何有选择的报价，其投标文件都将被拒绝。</w:t>
            </w:r>
          </w:p>
          <w:p w14:paraId="6E0AFA92">
            <w:pPr>
              <w:keepNext w:val="0"/>
              <w:keepLines w:val="0"/>
              <w:pageBreakBefore w:val="0"/>
              <w:kinsoku/>
              <w:wordWrap/>
              <w:overflowPunct/>
              <w:autoSpaceDE/>
              <w:autoSpaceDN/>
              <w:bidi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投标总价为完成清单计量单位项目实体全部工作内容和现行技术规程及规范明确的全部工作内容所需的人工费、材料费/设备费（所有辅料、材料试验及检测费）、机械费、安装施工费、成品保护、风险费用、市场价差、水电费、其他直接费及间接费、措施项目费（垂直运输、夜间施工费、二次搬运费、冬雨季施工增加费、大型机械设备进出场及安拆费、施工降排水费、留置设施及建筑物的临时保护设施费、已完工程及设备保护费、抢工措施费等一切与该工程相关的措施费）、安全文明施工费（安全施工费、环境保护费、文明施工费、临时设施费）、垃圾清运费、企业管理费、利润、规费、保管费、竣工前清洁、验收、保险、竣工资料、维修服务费、市场风险等，工作内容等与本工程相关的所有费用，税金单列。</w:t>
            </w:r>
          </w:p>
          <w:p w14:paraId="75D91A29">
            <w:pPr>
              <w:keepNext w:val="0"/>
              <w:keepLines w:val="0"/>
              <w:pageBreakBefore w:val="0"/>
              <w:kinsoku/>
              <w:wordWrap/>
              <w:overflowPunct/>
              <w:autoSpaceDE/>
              <w:autoSpaceDN/>
              <w:bidi w:val="0"/>
              <w:snapToGrid w:val="0"/>
              <w:spacing w:line="440" w:lineRule="exact"/>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）结算时工程量据实结算。</w:t>
            </w:r>
          </w:p>
          <w:p w14:paraId="71977838">
            <w:pPr>
              <w:adjustRightInd w:val="0"/>
              <w:snapToGrid w:val="0"/>
              <w:spacing w:line="430" w:lineRule="exact"/>
              <w:ind w:firstLine="211" w:firstLineChars="1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8</w:t>
            </w:r>
            <w:r>
              <w:rPr>
                <w:rFonts w:hint="eastAsia" w:asciiTheme="minorEastAsia" w:hAnsiTheme="minorEastAsia" w:eastAsiaTheme="minorEastAsia" w:cstheme="minorEastAsia"/>
                <w:b/>
                <w:color w:val="auto"/>
                <w:sz w:val="21"/>
                <w:szCs w:val="21"/>
              </w:rPr>
              <w:t>）招标人不保证总报价最低的投标人中标。</w:t>
            </w:r>
          </w:p>
        </w:tc>
      </w:tr>
      <w:tr w14:paraId="25634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459986F8">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3.3.1</w:t>
            </w:r>
          </w:p>
        </w:tc>
        <w:tc>
          <w:tcPr>
            <w:tcW w:w="1829" w:type="dxa"/>
            <w:tcBorders>
              <w:top w:val="single" w:color="auto" w:sz="4" w:space="0"/>
              <w:left w:val="single" w:color="auto" w:sz="4" w:space="0"/>
              <w:bottom w:val="single" w:color="auto" w:sz="4" w:space="0"/>
              <w:right w:val="single" w:color="auto" w:sz="4" w:space="0"/>
            </w:tcBorders>
            <w:vAlign w:val="center"/>
          </w:tcPr>
          <w:p w14:paraId="6B361FD3">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投标有效期</w:t>
            </w:r>
          </w:p>
        </w:tc>
        <w:tc>
          <w:tcPr>
            <w:tcW w:w="6289" w:type="dxa"/>
            <w:tcBorders>
              <w:top w:val="single" w:color="auto" w:sz="4" w:space="0"/>
              <w:left w:val="single" w:color="auto" w:sz="4" w:space="0"/>
              <w:bottom w:val="single" w:color="auto" w:sz="4" w:space="0"/>
              <w:right w:val="single" w:color="auto" w:sz="4" w:space="0"/>
            </w:tcBorders>
            <w:vAlign w:val="center"/>
          </w:tcPr>
          <w:p w14:paraId="407CB1D6">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从投标截止之日起：</w:t>
            </w:r>
            <w:r>
              <w:rPr>
                <w:rFonts w:asciiTheme="minorEastAsia" w:hAnsiTheme="minorEastAsia" w:eastAsiaTheme="minorEastAsia"/>
                <w:b/>
                <w:color w:val="auto"/>
                <w:szCs w:val="21"/>
                <w:highlight w:val="none"/>
                <w:u w:val="single"/>
              </w:rPr>
              <w:t>90</w:t>
            </w:r>
            <w:r>
              <w:rPr>
                <w:rFonts w:hint="eastAsia" w:asciiTheme="minorEastAsia" w:hAnsiTheme="minorEastAsia" w:eastAsiaTheme="minorEastAsia"/>
                <w:color w:val="auto"/>
                <w:szCs w:val="21"/>
                <w:highlight w:val="none"/>
              </w:rPr>
              <w:t>日历天</w:t>
            </w:r>
          </w:p>
        </w:tc>
      </w:tr>
      <w:tr w14:paraId="5A408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right w:val="single" w:color="auto" w:sz="4" w:space="0"/>
            </w:tcBorders>
            <w:vAlign w:val="center"/>
          </w:tcPr>
          <w:p w14:paraId="66A238FE">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3.4.1</w:t>
            </w:r>
          </w:p>
        </w:tc>
        <w:tc>
          <w:tcPr>
            <w:tcW w:w="1829" w:type="dxa"/>
            <w:tcBorders>
              <w:top w:val="single" w:color="auto" w:sz="4" w:space="0"/>
              <w:left w:val="single" w:color="auto" w:sz="4" w:space="0"/>
              <w:right w:val="single" w:color="auto" w:sz="4" w:space="0"/>
            </w:tcBorders>
            <w:vAlign w:val="center"/>
          </w:tcPr>
          <w:p w14:paraId="22A39A8D">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投标保证金</w:t>
            </w:r>
          </w:p>
        </w:tc>
        <w:tc>
          <w:tcPr>
            <w:tcW w:w="6289" w:type="dxa"/>
            <w:tcBorders>
              <w:top w:val="single" w:color="auto" w:sz="4" w:space="0"/>
              <w:left w:val="single" w:color="auto" w:sz="4" w:space="0"/>
              <w:bottom w:val="single" w:color="auto" w:sz="4" w:space="0"/>
              <w:right w:val="single" w:color="auto" w:sz="4" w:space="0"/>
            </w:tcBorders>
            <w:vAlign w:val="center"/>
          </w:tcPr>
          <w:p w14:paraId="2F8F8645">
            <w:pPr>
              <w:spacing w:line="360" w:lineRule="auto"/>
              <w:ind w:firstLine="210" w:firstLineChars="100"/>
              <w:rPr>
                <w:rFonts w:hint="eastAsia" w:ascii="Times New Roman" w:hAnsi="Times New Roman" w:cs="Times New Roman"/>
                <w:b w:val="0"/>
                <w:bCs w:val="0"/>
                <w:color w:val="auto"/>
                <w:highlight w:val="none"/>
                <w:lang w:val="en-US" w:eastAsia="zh-CN"/>
              </w:rPr>
            </w:pPr>
            <w:bookmarkStart w:id="0" w:name="OLE_LINK134"/>
          </w:p>
          <w:p w14:paraId="4AA953FA">
            <w:pPr>
              <w:numPr>
                <w:ilvl w:val="0"/>
                <w:numId w:val="0"/>
              </w:numPr>
              <w:spacing w:line="360" w:lineRule="auto"/>
              <w:ind w:firstLine="211" w:firstLineChars="100"/>
              <w:rPr>
                <w:rFonts w:hint="eastAsia" w:cs="Times New Roman"/>
                <w:b/>
                <w:bCs/>
                <w:color w:val="auto"/>
                <w:highlight w:val="none"/>
                <w:lang w:val="en-US" w:eastAsia="zh-CN"/>
              </w:rPr>
            </w:pPr>
            <w:r>
              <w:rPr>
                <w:rFonts w:hint="eastAsia" w:ascii="Times New Roman" w:hAnsi="Times New Roman" w:eastAsia="宋体" w:cs="Times New Roman"/>
                <w:b/>
                <w:bCs/>
                <w:color w:val="auto"/>
                <w:kern w:val="2"/>
                <w:sz w:val="21"/>
                <w:highlight w:val="none"/>
                <w:lang w:val="en-US" w:eastAsia="zh-CN" w:bidi="ar-SA"/>
              </w:rPr>
              <w:t>1、</w:t>
            </w:r>
            <w:r>
              <w:rPr>
                <w:rFonts w:hint="eastAsia" w:ascii="Times New Roman" w:hAnsi="Times New Roman" w:cs="Times New Roman"/>
                <w:b/>
                <w:bCs/>
                <w:color w:val="auto"/>
                <w:highlight w:val="none"/>
                <w:lang w:eastAsia="zh-CN"/>
              </w:rPr>
              <w:t>投标保证金金额：</w:t>
            </w:r>
            <w:r>
              <w:rPr>
                <w:rFonts w:hint="eastAsia" w:cs="Times New Roman"/>
                <w:b/>
                <w:bCs/>
                <w:color w:val="auto"/>
                <w:highlight w:val="none"/>
                <w:u w:val="single"/>
                <w:lang w:val="en-US" w:eastAsia="zh-CN"/>
              </w:rPr>
              <w:t>6000</w:t>
            </w:r>
            <w:r>
              <w:rPr>
                <w:rFonts w:hint="eastAsia" w:ascii="Times New Roman" w:hAnsi="Times New Roman" w:cs="Times New Roman"/>
                <w:b/>
                <w:bCs/>
                <w:color w:val="auto"/>
                <w:highlight w:val="none"/>
                <w:u w:val="single"/>
                <w:lang w:val="en-US" w:eastAsia="zh-CN"/>
              </w:rPr>
              <w:t>元</w:t>
            </w:r>
          </w:p>
          <w:p w14:paraId="22582D4E">
            <w:pPr>
              <w:numPr>
                <w:ilvl w:val="0"/>
                <w:numId w:val="0"/>
              </w:numPr>
              <w:spacing w:line="360" w:lineRule="auto"/>
              <w:ind w:firstLine="211" w:firstLineChars="100"/>
              <w:rPr>
                <w:rFonts w:hint="eastAsia" w:ascii="Times New Roman" w:hAnsi="Times New Roman" w:cs="Times New Roman"/>
                <w:b/>
                <w:bCs/>
                <w:color w:val="auto"/>
                <w:highlight w:val="none"/>
                <w:lang w:eastAsia="zh-CN"/>
              </w:rPr>
            </w:pPr>
            <w:r>
              <w:rPr>
                <w:rFonts w:hint="eastAsia" w:ascii="Times New Roman" w:hAnsi="Times New Roman" w:eastAsia="宋体" w:cs="Times New Roman"/>
                <w:b/>
                <w:bCs/>
                <w:color w:val="auto"/>
                <w:kern w:val="2"/>
                <w:sz w:val="21"/>
                <w:highlight w:val="none"/>
                <w:lang w:val="en-US" w:eastAsia="zh-CN" w:bidi="ar-SA"/>
              </w:rPr>
              <w:t>2、</w:t>
            </w:r>
            <w:r>
              <w:rPr>
                <w:rFonts w:hint="eastAsia" w:ascii="Times New Roman" w:hAnsi="Times New Roman" w:cs="Times New Roman"/>
                <w:b/>
                <w:bCs/>
                <w:color w:val="auto"/>
                <w:highlight w:val="none"/>
                <w:lang w:eastAsia="zh-CN"/>
              </w:rPr>
              <w:t>投标保证金递交方式：</w:t>
            </w:r>
          </w:p>
          <w:p w14:paraId="53D9D375">
            <w:pPr>
              <w:adjustRightInd w:val="0"/>
              <w:snapToGrid w:val="0"/>
              <w:spacing w:line="360" w:lineRule="auto"/>
              <w:ind w:firstLine="210" w:firstLineChars="100"/>
              <w:rPr>
                <w:b w:val="0"/>
                <w:bCs w:val="0"/>
                <w:color w:val="auto"/>
                <w:highlight w:val="none"/>
              </w:rPr>
            </w:pPr>
            <w:r>
              <w:rPr>
                <w:rFonts w:hint="eastAsia"/>
                <w:b w:val="0"/>
                <w:bCs w:val="0"/>
                <w:color w:val="auto"/>
                <w:highlight w:val="none"/>
              </w:rPr>
              <w:t>按哈尔滨市公共资源交易中心平台系统提示交纳，以系统内查询到账为准。</w:t>
            </w:r>
          </w:p>
          <w:bookmarkEnd w:id="0"/>
          <w:p w14:paraId="106A166D">
            <w:pPr>
              <w:adjustRightInd w:val="0"/>
              <w:snapToGrid w:val="0"/>
              <w:spacing w:line="360" w:lineRule="auto"/>
              <w:ind w:firstLine="211" w:firstLineChars="100"/>
              <w:rPr>
                <w:b/>
                <w:bCs/>
                <w:color w:val="auto"/>
                <w:highlight w:val="none"/>
              </w:rPr>
            </w:pPr>
            <w:r>
              <w:rPr>
                <w:b/>
                <w:bCs/>
                <w:color w:val="auto"/>
                <w:highlight w:val="none"/>
              </w:rPr>
              <w:t>3</w:t>
            </w:r>
            <w:r>
              <w:rPr>
                <w:rFonts w:hint="eastAsia"/>
                <w:b/>
                <w:bCs/>
                <w:color w:val="auto"/>
                <w:highlight w:val="none"/>
              </w:rPr>
              <w:t>、投标保证金到账截止时间：</w:t>
            </w:r>
          </w:p>
          <w:p w14:paraId="4907BFAD">
            <w:pPr>
              <w:adjustRightInd w:val="0"/>
              <w:snapToGrid w:val="0"/>
              <w:spacing w:line="360" w:lineRule="auto"/>
              <w:ind w:firstLine="422" w:firstLineChars="200"/>
              <w:rPr>
                <w:b/>
                <w:bCs/>
                <w:color w:val="auto"/>
                <w:highlight w:val="none"/>
              </w:rPr>
            </w:pPr>
            <w:r>
              <w:rPr>
                <w:rFonts w:hint="eastAsia"/>
                <w:b/>
                <w:bCs/>
                <w:color w:val="auto"/>
                <w:highlight w:val="none"/>
                <w:u w:val="single"/>
                <w:lang w:eastAsia="zh-CN"/>
              </w:rPr>
              <w:t>202</w:t>
            </w:r>
            <w:r>
              <w:rPr>
                <w:rFonts w:hint="eastAsia"/>
                <w:b/>
                <w:bCs/>
                <w:color w:val="auto"/>
                <w:highlight w:val="none"/>
                <w:u w:val="single"/>
                <w:lang w:val="en-US" w:eastAsia="zh-CN"/>
              </w:rPr>
              <w:t>6</w:t>
            </w:r>
            <w:r>
              <w:rPr>
                <w:rFonts w:hint="eastAsia"/>
                <w:b/>
                <w:bCs/>
                <w:color w:val="auto"/>
                <w:highlight w:val="none"/>
                <w:u w:val="single"/>
                <w:lang w:eastAsia="zh-CN"/>
              </w:rPr>
              <w:t>年</w:t>
            </w:r>
            <w:r>
              <w:rPr>
                <w:rFonts w:hint="eastAsia"/>
                <w:b/>
                <w:bCs/>
                <w:color w:val="auto"/>
                <w:highlight w:val="none"/>
                <w:u w:val="single"/>
                <w:lang w:val="en-US" w:eastAsia="zh-CN"/>
              </w:rPr>
              <w:t>04</w:t>
            </w:r>
            <w:r>
              <w:rPr>
                <w:rFonts w:hint="eastAsia"/>
                <w:b/>
                <w:bCs/>
                <w:color w:val="auto"/>
                <w:highlight w:val="none"/>
                <w:u w:val="single"/>
                <w:lang w:eastAsia="zh-CN"/>
              </w:rPr>
              <w:t>月</w:t>
            </w:r>
            <w:r>
              <w:rPr>
                <w:rFonts w:hint="eastAsia"/>
                <w:b/>
                <w:bCs/>
                <w:color w:val="auto"/>
                <w:highlight w:val="none"/>
                <w:u w:val="single"/>
                <w:lang w:val="en-US" w:eastAsia="zh-CN"/>
              </w:rPr>
              <w:t>23</w:t>
            </w:r>
            <w:r>
              <w:rPr>
                <w:rFonts w:hint="eastAsia"/>
                <w:b/>
                <w:bCs/>
                <w:color w:val="auto"/>
                <w:highlight w:val="none"/>
                <w:u w:val="single"/>
                <w:lang w:eastAsia="zh-CN"/>
              </w:rPr>
              <w:t>日16时00分前</w:t>
            </w:r>
            <w:r>
              <w:rPr>
                <w:rFonts w:hint="eastAsia"/>
                <w:b/>
                <w:bCs/>
                <w:color w:val="auto"/>
                <w:highlight w:val="none"/>
              </w:rPr>
              <w:t>；</w:t>
            </w:r>
          </w:p>
          <w:p w14:paraId="5F79B57B">
            <w:pPr>
              <w:spacing w:line="360" w:lineRule="auto"/>
              <w:ind w:firstLine="422" w:firstLineChars="200"/>
              <w:rPr>
                <w:b/>
                <w:bCs/>
                <w:color w:val="auto"/>
                <w:highlight w:val="none"/>
              </w:rPr>
            </w:pPr>
            <w:r>
              <w:rPr>
                <w:rFonts w:hint="eastAsia"/>
                <w:b/>
                <w:bCs/>
                <w:color w:val="auto"/>
                <w:highlight w:val="none"/>
              </w:rPr>
              <w:t>注：投标人应当通过会员注册时绑定的银行账户，采取网上银行支付的方式，将</w:t>
            </w:r>
            <w:r>
              <w:rPr>
                <w:rFonts w:hint="eastAsia"/>
                <w:b/>
                <w:bCs/>
                <w:color w:val="auto"/>
                <w:highlight w:val="none"/>
                <w:lang w:eastAsia="zh-CN"/>
              </w:rPr>
              <w:t>招标</w:t>
            </w:r>
            <w:r>
              <w:rPr>
                <w:rFonts w:hint="eastAsia"/>
                <w:b/>
                <w:bCs/>
                <w:color w:val="auto"/>
                <w:highlight w:val="none"/>
              </w:rPr>
              <w:t>保证金按时足额汇入哈尔滨产权交易所有限责任公司阳光</w:t>
            </w:r>
            <w:r>
              <w:rPr>
                <w:rFonts w:hint="eastAsia"/>
                <w:b/>
                <w:bCs/>
                <w:color w:val="auto"/>
                <w:highlight w:val="none"/>
                <w:lang w:eastAsia="zh-CN"/>
              </w:rPr>
              <w:t>招标</w:t>
            </w:r>
            <w:r>
              <w:rPr>
                <w:rFonts w:hint="eastAsia"/>
                <w:b/>
                <w:bCs/>
                <w:color w:val="auto"/>
                <w:highlight w:val="none"/>
              </w:rPr>
              <w:t>平台系统发送的银行账户。</w:t>
            </w:r>
            <w:r>
              <w:rPr>
                <w:rFonts w:hint="eastAsia"/>
                <w:b/>
                <w:bCs/>
                <w:color w:val="auto"/>
                <w:highlight w:val="none"/>
                <w:lang w:eastAsia="zh-CN"/>
              </w:rPr>
              <w:t>招标</w:t>
            </w:r>
            <w:r>
              <w:rPr>
                <w:rFonts w:hint="eastAsia"/>
                <w:b/>
                <w:bCs/>
                <w:color w:val="auto"/>
                <w:highlight w:val="none"/>
              </w:rPr>
              <w:t>保证金的交纳账号由</w:t>
            </w:r>
            <w:r>
              <w:rPr>
                <w:rFonts w:hint="eastAsia"/>
                <w:b/>
                <w:bCs/>
                <w:color w:val="auto"/>
                <w:highlight w:val="none"/>
                <w:lang w:eastAsia="zh-CN"/>
              </w:rPr>
              <w:t>招标</w:t>
            </w:r>
            <w:r>
              <w:rPr>
                <w:rFonts w:hint="eastAsia"/>
                <w:b/>
                <w:bCs/>
                <w:color w:val="auto"/>
                <w:highlight w:val="none"/>
              </w:rPr>
              <w:t>平台以短信的形式向投标人注册手机发送，每个项目及每个项目所划分包次/标包的账号均不相同；每个投标人收到的账号均不相同。以其它方式交纳或第三方代交均无效。</w:t>
            </w:r>
            <w:r>
              <w:rPr>
                <w:rFonts w:hint="eastAsia"/>
                <w:b/>
                <w:bCs/>
                <w:color w:val="auto"/>
                <w:highlight w:val="none"/>
                <w:lang w:eastAsia="zh-CN"/>
              </w:rPr>
              <w:t>招标</w:t>
            </w:r>
            <w:r>
              <w:rPr>
                <w:rFonts w:hint="eastAsia"/>
                <w:b/>
                <w:bCs/>
                <w:color w:val="auto"/>
                <w:highlight w:val="none"/>
              </w:rPr>
              <w:t>保证金未在规定时间到账、未交纳到系统提示账号或无效交纳的，该投标人将无法参与该项目。</w:t>
            </w:r>
          </w:p>
          <w:p w14:paraId="5BFB8933">
            <w:pPr>
              <w:spacing w:line="360" w:lineRule="auto"/>
              <w:ind w:firstLine="422" w:firstLineChars="200"/>
              <w:rPr>
                <w:b/>
                <w:bCs/>
                <w:color w:val="auto"/>
                <w:highlight w:val="none"/>
              </w:rPr>
            </w:pPr>
            <w:r>
              <w:rPr>
                <w:rFonts w:hint="eastAsia"/>
                <w:b/>
                <w:bCs/>
                <w:color w:val="auto"/>
                <w:highlight w:val="none"/>
              </w:rPr>
              <w:t>投标人在缴纳完保证金后，需在保证金递交截止时间前，自行进入系统缴费页面进行查询，如因未查询而导致的保证金交纳无效，由投标人自行承担责任。</w:t>
            </w:r>
          </w:p>
          <w:p w14:paraId="55F75BE9">
            <w:pPr>
              <w:spacing w:line="360" w:lineRule="auto"/>
              <w:ind w:firstLine="422" w:firstLineChars="200"/>
              <w:rPr>
                <w:color w:val="auto"/>
                <w:highlight w:val="none"/>
              </w:rPr>
            </w:pPr>
            <w:r>
              <w:rPr>
                <w:rFonts w:hint="eastAsia"/>
                <w:b/>
                <w:bCs/>
                <w:color w:val="auto"/>
                <w:highlight w:val="none"/>
              </w:rPr>
              <w:t>未中标投标人的投标保证金，在中标通知书发出之日起5日内原路全额退还。中标投标人的投标保证金，在中标合同签订后5日内原路全额退还。</w:t>
            </w:r>
          </w:p>
        </w:tc>
      </w:tr>
      <w:tr w14:paraId="416D1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right w:val="single" w:color="auto" w:sz="4" w:space="0"/>
            </w:tcBorders>
            <w:vAlign w:val="center"/>
          </w:tcPr>
          <w:p w14:paraId="2BF84AD7">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3.4.4</w:t>
            </w:r>
          </w:p>
        </w:tc>
        <w:tc>
          <w:tcPr>
            <w:tcW w:w="1829" w:type="dxa"/>
            <w:tcBorders>
              <w:top w:val="single" w:color="auto" w:sz="4" w:space="0"/>
              <w:left w:val="single" w:color="auto" w:sz="4" w:space="0"/>
              <w:right w:val="single" w:color="auto" w:sz="4" w:space="0"/>
            </w:tcBorders>
            <w:vAlign w:val="center"/>
          </w:tcPr>
          <w:p w14:paraId="5AF85834">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其他可以不予退还投标保证金的情形</w:t>
            </w:r>
          </w:p>
        </w:tc>
        <w:tc>
          <w:tcPr>
            <w:tcW w:w="6289" w:type="dxa"/>
            <w:tcBorders>
              <w:top w:val="single" w:color="auto" w:sz="4" w:space="0"/>
              <w:left w:val="single" w:color="auto" w:sz="4" w:space="0"/>
              <w:bottom w:val="single" w:color="auto" w:sz="4" w:space="0"/>
              <w:right w:val="single" w:color="auto" w:sz="4" w:space="0"/>
            </w:tcBorders>
            <w:vAlign w:val="center"/>
          </w:tcPr>
          <w:p w14:paraId="182A8830">
            <w:pPr>
              <w:widowControl/>
              <w:spacing w:line="430" w:lineRule="exact"/>
              <w:rPr>
                <w:rFonts w:ascii="宋体" w:hAnsi="宋体" w:cs="宋体"/>
                <w:color w:val="auto"/>
                <w:szCs w:val="21"/>
                <w:highlight w:val="none"/>
              </w:rPr>
            </w:pPr>
            <w:r>
              <w:rPr>
                <w:rFonts w:hint="eastAsia" w:ascii="宋体" w:hAnsi="宋体" w:cs="宋体"/>
                <w:color w:val="auto"/>
                <w:szCs w:val="21"/>
                <w:highlight w:val="none"/>
              </w:rPr>
              <w:t>投标人有下列情形之一的，不予退还投标保证金：</w:t>
            </w:r>
          </w:p>
          <w:p w14:paraId="28625428">
            <w:pPr>
              <w:widowControl/>
              <w:spacing w:line="430" w:lineRule="exact"/>
              <w:rPr>
                <w:rFonts w:ascii="宋体" w:hAnsi="宋体" w:cs="宋体"/>
                <w:color w:val="auto"/>
                <w:szCs w:val="21"/>
                <w:highlight w:val="none"/>
              </w:rPr>
            </w:pPr>
            <w:r>
              <w:rPr>
                <w:rFonts w:hint="eastAsia" w:ascii="宋体" w:hAnsi="宋体" w:cs="宋体"/>
                <w:color w:val="auto"/>
                <w:szCs w:val="21"/>
                <w:highlight w:val="none"/>
              </w:rPr>
              <w:t>（1）投标人在规定的投标有效期内撤销或修改其投标文件；</w:t>
            </w:r>
          </w:p>
          <w:p w14:paraId="0211745C">
            <w:pPr>
              <w:widowControl/>
              <w:spacing w:line="430" w:lineRule="exact"/>
              <w:rPr>
                <w:rFonts w:ascii="宋体" w:hAnsi="宋体" w:cs="宋体"/>
                <w:color w:val="auto"/>
                <w:szCs w:val="21"/>
                <w:highlight w:val="none"/>
              </w:rPr>
            </w:pPr>
            <w:r>
              <w:rPr>
                <w:rFonts w:hint="eastAsia" w:ascii="宋体" w:hAnsi="宋体" w:cs="宋体"/>
                <w:color w:val="auto"/>
                <w:szCs w:val="21"/>
                <w:highlight w:val="none"/>
              </w:rPr>
              <w:t>（2）中标通知书发出后，中标人放弃中标项目的，无正当理由不与招标人签订合同的，在签订合同时向招标人提出附加条件或者更改合同实质性内容的，或者拒不提交所要求的履约保证金的；</w:t>
            </w:r>
          </w:p>
          <w:p w14:paraId="677427AD">
            <w:pPr>
              <w:widowControl/>
              <w:spacing w:line="430" w:lineRule="exact"/>
              <w:rPr>
                <w:rFonts w:ascii="宋体" w:hAnsi="宋体" w:cs="宋体"/>
                <w:color w:val="auto"/>
                <w:szCs w:val="21"/>
                <w:highlight w:val="none"/>
              </w:rPr>
            </w:pPr>
            <w:r>
              <w:rPr>
                <w:rFonts w:hint="eastAsia" w:ascii="宋体" w:hAnsi="宋体" w:cs="宋体"/>
                <w:color w:val="auto"/>
                <w:szCs w:val="21"/>
                <w:highlight w:val="none"/>
              </w:rPr>
              <w:t>（3）投标人在投标活动中串通投标、弄虚作假的；</w:t>
            </w:r>
          </w:p>
          <w:p w14:paraId="1EF9FDEA">
            <w:pPr>
              <w:adjustRightInd w:val="0"/>
              <w:snapToGrid w:val="0"/>
              <w:spacing w:line="430" w:lineRule="exact"/>
              <w:rPr>
                <w:rFonts w:asciiTheme="minorEastAsia" w:hAnsiTheme="minorEastAsia" w:eastAsiaTheme="minorEastAsia"/>
                <w:color w:val="auto"/>
                <w:szCs w:val="21"/>
                <w:highlight w:val="none"/>
              </w:rPr>
            </w:pPr>
            <w:r>
              <w:rPr>
                <w:rFonts w:hint="eastAsia" w:ascii="宋体" w:hAnsi="宋体" w:cs="宋体"/>
                <w:color w:val="auto"/>
                <w:szCs w:val="21"/>
                <w:highlight w:val="none"/>
              </w:rPr>
              <w:t>（4）法律法规规定不予退还的其他情形。</w:t>
            </w:r>
          </w:p>
        </w:tc>
      </w:tr>
      <w:tr w14:paraId="0E5ED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right w:val="single" w:color="auto" w:sz="4" w:space="0"/>
            </w:tcBorders>
            <w:vAlign w:val="center"/>
          </w:tcPr>
          <w:p w14:paraId="0434521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3.5</w:t>
            </w:r>
          </w:p>
        </w:tc>
        <w:tc>
          <w:tcPr>
            <w:tcW w:w="1829" w:type="dxa"/>
            <w:tcBorders>
              <w:top w:val="single" w:color="auto" w:sz="4" w:space="0"/>
              <w:left w:val="single" w:color="auto" w:sz="4" w:space="0"/>
              <w:right w:val="single" w:color="auto" w:sz="4" w:space="0"/>
            </w:tcBorders>
            <w:vAlign w:val="center"/>
          </w:tcPr>
          <w:p w14:paraId="6F48D31A">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资格审查资料的特殊要求</w:t>
            </w:r>
          </w:p>
        </w:tc>
        <w:tc>
          <w:tcPr>
            <w:tcW w:w="6289" w:type="dxa"/>
            <w:tcBorders>
              <w:top w:val="single" w:color="auto" w:sz="4" w:space="0"/>
              <w:left w:val="single" w:color="auto" w:sz="4" w:space="0"/>
              <w:bottom w:val="single" w:color="auto" w:sz="4" w:space="0"/>
              <w:right w:val="single" w:color="auto" w:sz="4" w:space="0"/>
            </w:tcBorders>
            <w:vAlign w:val="center"/>
          </w:tcPr>
          <w:p w14:paraId="1E55CC2F">
            <w:pPr>
              <w:spacing w:line="430" w:lineRule="exact"/>
              <w:rPr>
                <w:rFonts w:ascii="宋体" w:hAnsi="宋体" w:cs="宋体"/>
                <w:color w:val="auto"/>
                <w:szCs w:val="21"/>
                <w:highlight w:val="none"/>
              </w:rPr>
            </w:pPr>
            <w:r>
              <w:rPr>
                <w:rFonts w:hint="eastAsia" w:ascii="宋体" w:hAnsi="宋体" w:cs="宋体"/>
                <w:color w:val="auto"/>
                <w:szCs w:val="21"/>
                <w:highlight w:val="none"/>
              </w:rPr>
              <w:t xml:space="preserve">■无 </w:t>
            </w:r>
          </w:p>
          <w:p w14:paraId="3A9FF640">
            <w:pPr>
              <w:spacing w:line="430" w:lineRule="exact"/>
              <w:rPr>
                <w:rFonts w:ascii="宋体" w:hAnsi="宋体" w:cs="宋体"/>
                <w:color w:val="auto"/>
                <w:szCs w:val="21"/>
                <w:highlight w:val="none"/>
              </w:rPr>
            </w:pPr>
            <w:r>
              <w:rPr>
                <w:rFonts w:hint="eastAsia" w:ascii="宋体" w:hAnsi="宋体" w:cs="宋体"/>
                <w:color w:val="auto"/>
                <w:szCs w:val="21"/>
                <w:highlight w:val="none"/>
              </w:rPr>
              <w:t xml:space="preserve">□有，具体要求： </w:t>
            </w:r>
          </w:p>
          <w:p w14:paraId="794AC1E1">
            <w:pPr>
              <w:adjustRightInd w:val="0"/>
              <w:snapToGrid w:val="0"/>
              <w:spacing w:line="430" w:lineRule="exact"/>
              <w:ind w:left="34" w:leftChars="16" w:firstLine="281" w:firstLineChars="134"/>
              <w:rPr>
                <w:rFonts w:asciiTheme="minorEastAsia" w:hAnsiTheme="minorEastAsia" w:eastAsiaTheme="minorEastAsia"/>
                <w:color w:val="auto"/>
                <w:szCs w:val="21"/>
                <w:highlight w:val="none"/>
              </w:rPr>
            </w:pPr>
            <w:r>
              <w:rPr>
                <w:rFonts w:hint="eastAsia" w:ascii="宋体" w:hAnsi="宋体" w:cs="宋体"/>
                <w:color w:val="auto"/>
                <w:szCs w:val="21"/>
                <w:highlight w:val="none"/>
              </w:rPr>
              <w:t>存在争议事项时，以评标委员会全体成员举手表决结果为准（表决采取少数服从多数原则，结果以过半数视为有效），审查结果采用合格/不合格制。</w:t>
            </w:r>
          </w:p>
        </w:tc>
      </w:tr>
      <w:tr w14:paraId="4A7B0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1003C966">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3.5.2</w:t>
            </w:r>
          </w:p>
        </w:tc>
        <w:tc>
          <w:tcPr>
            <w:tcW w:w="1829" w:type="dxa"/>
            <w:tcBorders>
              <w:top w:val="single" w:color="auto" w:sz="4" w:space="0"/>
              <w:left w:val="single" w:color="auto" w:sz="4" w:space="0"/>
              <w:right w:val="single" w:color="auto" w:sz="4" w:space="0"/>
            </w:tcBorders>
            <w:vAlign w:val="center"/>
          </w:tcPr>
          <w:p w14:paraId="3979B5D3">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近年财务状况的年份要求</w:t>
            </w:r>
          </w:p>
        </w:tc>
        <w:tc>
          <w:tcPr>
            <w:tcW w:w="6289" w:type="dxa"/>
            <w:tcBorders>
              <w:top w:val="single" w:color="auto" w:sz="4" w:space="0"/>
              <w:left w:val="single" w:color="auto" w:sz="4" w:space="0"/>
              <w:bottom w:val="single" w:color="auto" w:sz="4" w:space="0"/>
              <w:right w:val="single" w:color="auto" w:sz="4" w:space="0"/>
            </w:tcBorders>
            <w:vAlign w:val="center"/>
          </w:tcPr>
          <w:p w14:paraId="7D6B0AF5">
            <w:pPr>
              <w:spacing w:line="430" w:lineRule="exact"/>
              <w:ind w:firstLine="210" w:firstLineChars="100"/>
              <w:rPr>
                <w:rFonts w:asciiTheme="minorEastAsia" w:hAnsiTheme="minorEastAsia" w:eastAsiaTheme="minorEastAsia"/>
                <w:color w:val="auto"/>
                <w:szCs w:val="21"/>
                <w:highlight w:val="none"/>
              </w:rPr>
            </w:pPr>
            <w:r>
              <w:rPr>
                <w:rFonts w:hint="eastAsia" w:ascii="宋体" w:hAnsi="宋体" w:cs="宋体"/>
                <w:color w:val="auto"/>
                <w:szCs w:val="21"/>
                <w:highlight w:val="none"/>
              </w:rPr>
              <w:t>/</w:t>
            </w:r>
          </w:p>
        </w:tc>
      </w:tr>
      <w:tr w14:paraId="299BC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3DFB3DC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3.5.3</w:t>
            </w:r>
          </w:p>
        </w:tc>
        <w:tc>
          <w:tcPr>
            <w:tcW w:w="1829" w:type="dxa"/>
            <w:tcBorders>
              <w:top w:val="single" w:color="auto" w:sz="4" w:space="0"/>
              <w:left w:val="single" w:color="auto" w:sz="4" w:space="0"/>
              <w:right w:val="single" w:color="auto" w:sz="4" w:space="0"/>
            </w:tcBorders>
            <w:vAlign w:val="center"/>
          </w:tcPr>
          <w:p w14:paraId="1B29367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近年完成的类似项目的年份要求</w:t>
            </w:r>
          </w:p>
        </w:tc>
        <w:tc>
          <w:tcPr>
            <w:tcW w:w="6289" w:type="dxa"/>
            <w:tcBorders>
              <w:top w:val="single" w:color="auto" w:sz="4" w:space="0"/>
              <w:left w:val="single" w:color="auto" w:sz="4" w:space="0"/>
              <w:bottom w:val="single" w:color="auto" w:sz="4" w:space="0"/>
              <w:right w:val="single" w:color="auto" w:sz="4" w:space="0"/>
            </w:tcBorders>
            <w:vAlign w:val="center"/>
          </w:tcPr>
          <w:p w14:paraId="7E9C5CCC">
            <w:pPr>
              <w:adjustRightInd w:val="0"/>
              <w:snapToGrid w:val="0"/>
              <w:spacing w:line="430" w:lineRule="exact"/>
              <w:ind w:firstLine="210" w:firstLineChars="100"/>
              <w:rPr>
                <w:rFonts w:asciiTheme="minorEastAsia" w:hAnsiTheme="minorEastAsia" w:eastAsiaTheme="minorEastAsia"/>
                <w:color w:val="auto"/>
                <w:szCs w:val="21"/>
                <w:highlight w:val="none"/>
                <w:u w:val="single"/>
              </w:rPr>
            </w:pPr>
            <w:r>
              <w:rPr>
                <w:rFonts w:hint="eastAsia" w:ascii="宋体" w:hAnsi="宋体" w:cs="宋体"/>
                <w:color w:val="auto"/>
                <w:szCs w:val="21"/>
                <w:highlight w:val="none"/>
              </w:rPr>
              <w:t>/</w:t>
            </w:r>
          </w:p>
        </w:tc>
      </w:tr>
      <w:tr w14:paraId="75E35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right w:val="single" w:color="auto" w:sz="4" w:space="0"/>
            </w:tcBorders>
            <w:vAlign w:val="center"/>
          </w:tcPr>
          <w:p w14:paraId="70142C8B">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3.5.5</w:t>
            </w:r>
          </w:p>
        </w:tc>
        <w:tc>
          <w:tcPr>
            <w:tcW w:w="1829" w:type="dxa"/>
            <w:tcBorders>
              <w:top w:val="single" w:color="auto" w:sz="4" w:space="0"/>
              <w:left w:val="single" w:color="auto" w:sz="4" w:space="0"/>
              <w:right w:val="single" w:color="auto" w:sz="4" w:space="0"/>
            </w:tcBorders>
            <w:vAlign w:val="center"/>
          </w:tcPr>
          <w:p w14:paraId="74029E17">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近年发生的诉讼及仲裁情况的年份要求</w:t>
            </w:r>
          </w:p>
        </w:tc>
        <w:tc>
          <w:tcPr>
            <w:tcW w:w="6289" w:type="dxa"/>
            <w:tcBorders>
              <w:top w:val="single" w:color="auto" w:sz="4" w:space="0"/>
              <w:left w:val="single" w:color="auto" w:sz="4" w:space="0"/>
              <w:bottom w:val="single" w:color="auto" w:sz="4" w:space="0"/>
              <w:right w:val="single" w:color="auto" w:sz="4" w:space="0"/>
            </w:tcBorders>
            <w:vAlign w:val="center"/>
          </w:tcPr>
          <w:p w14:paraId="604A88E6">
            <w:pPr>
              <w:adjustRightInd w:val="0"/>
              <w:snapToGrid w:val="0"/>
              <w:spacing w:line="430" w:lineRule="exact"/>
              <w:ind w:firstLine="210" w:firstLineChars="100"/>
              <w:rPr>
                <w:rFonts w:asciiTheme="minorEastAsia" w:hAnsiTheme="minorEastAsia" w:eastAsiaTheme="minorEastAsia"/>
                <w:color w:val="auto"/>
                <w:szCs w:val="21"/>
                <w:highlight w:val="none"/>
                <w:u w:val="single"/>
              </w:rPr>
            </w:pPr>
            <w:r>
              <w:rPr>
                <w:rFonts w:hint="eastAsia" w:ascii="宋体" w:hAnsi="宋体" w:cs="宋体"/>
                <w:color w:val="auto"/>
                <w:szCs w:val="21"/>
                <w:highlight w:val="none"/>
              </w:rPr>
              <w:t>/</w:t>
            </w:r>
          </w:p>
        </w:tc>
      </w:tr>
      <w:tr w14:paraId="298A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590B8961">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3.6.1</w:t>
            </w:r>
          </w:p>
        </w:tc>
        <w:tc>
          <w:tcPr>
            <w:tcW w:w="1829" w:type="dxa"/>
            <w:tcBorders>
              <w:top w:val="single" w:color="auto" w:sz="4" w:space="0"/>
              <w:left w:val="single" w:color="auto" w:sz="4" w:space="0"/>
              <w:bottom w:val="single" w:color="auto" w:sz="4" w:space="0"/>
              <w:right w:val="single" w:color="auto" w:sz="4" w:space="0"/>
            </w:tcBorders>
            <w:vAlign w:val="center"/>
          </w:tcPr>
          <w:p w14:paraId="64C52ED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是否允许递交投标备选方案</w:t>
            </w:r>
          </w:p>
        </w:tc>
        <w:tc>
          <w:tcPr>
            <w:tcW w:w="6289" w:type="dxa"/>
            <w:tcBorders>
              <w:top w:val="single" w:color="auto" w:sz="4" w:space="0"/>
              <w:left w:val="single" w:color="auto" w:sz="4" w:space="0"/>
              <w:bottom w:val="single" w:color="auto" w:sz="4" w:space="0"/>
              <w:right w:val="single" w:color="auto" w:sz="4" w:space="0"/>
            </w:tcBorders>
            <w:vAlign w:val="center"/>
          </w:tcPr>
          <w:p w14:paraId="19A20AF0">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▉不允许</w:t>
            </w:r>
          </w:p>
          <w:p w14:paraId="12E066B8">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□允许</w:t>
            </w:r>
          </w:p>
        </w:tc>
      </w:tr>
      <w:tr w14:paraId="08C29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969" w:type="dxa"/>
            <w:tcBorders>
              <w:top w:val="single" w:color="auto" w:sz="4" w:space="0"/>
              <w:left w:val="single" w:color="auto" w:sz="4" w:space="0"/>
              <w:bottom w:val="single" w:color="auto" w:sz="4" w:space="0"/>
              <w:right w:val="single" w:color="auto" w:sz="4" w:space="0"/>
            </w:tcBorders>
            <w:vAlign w:val="center"/>
          </w:tcPr>
          <w:p w14:paraId="006717E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3.7.3A(2)</w:t>
            </w:r>
          </w:p>
        </w:tc>
        <w:tc>
          <w:tcPr>
            <w:tcW w:w="1829" w:type="dxa"/>
            <w:tcBorders>
              <w:top w:val="single" w:color="auto" w:sz="4" w:space="0"/>
              <w:left w:val="single" w:color="auto" w:sz="4" w:space="0"/>
              <w:bottom w:val="single" w:color="auto" w:sz="4" w:space="0"/>
              <w:right w:val="single" w:color="auto" w:sz="4" w:space="0"/>
            </w:tcBorders>
            <w:vAlign w:val="center"/>
          </w:tcPr>
          <w:p w14:paraId="5B220B9A">
            <w:pPr>
              <w:adjustRightInd w:val="0"/>
              <w:snapToGrid w:val="0"/>
              <w:spacing w:line="430" w:lineRule="exact"/>
              <w:jc w:val="center"/>
              <w:rPr>
                <w:rFonts w:asciiTheme="minorEastAsia" w:hAnsiTheme="minorEastAsia" w:eastAsiaTheme="minorEastAsia"/>
                <w:color w:val="auto"/>
                <w:szCs w:val="21"/>
                <w:highlight w:val="none"/>
              </w:rPr>
            </w:pPr>
            <w:r>
              <w:rPr>
                <w:color w:val="auto"/>
                <w:szCs w:val="21"/>
                <w:highlight w:val="none"/>
              </w:rPr>
              <w:t>投标文件份数</w:t>
            </w:r>
            <w:r>
              <w:rPr>
                <w:rFonts w:hint="eastAsia"/>
                <w:color w:val="auto"/>
                <w:szCs w:val="21"/>
                <w:highlight w:val="none"/>
              </w:rPr>
              <w:t>及</w:t>
            </w:r>
            <w:r>
              <w:rPr>
                <w:color w:val="auto"/>
                <w:szCs w:val="21"/>
                <w:highlight w:val="none"/>
              </w:rPr>
              <w:t>其他要求</w:t>
            </w:r>
          </w:p>
        </w:tc>
        <w:tc>
          <w:tcPr>
            <w:tcW w:w="6289" w:type="dxa"/>
            <w:tcBorders>
              <w:top w:val="single" w:color="auto" w:sz="4" w:space="0"/>
              <w:left w:val="single" w:color="auto" w:sz="4" w:space="0"/>
              <w:bottom w:val="single" w:color="auto" w:sz="4" w:space="0"/>
              <w:right w:val="single" w:color="auto" w:sz="4" w:space="0"/>
            </w:tcBorders>
            <w:vAlign w:val="center"/>
          </w:tcPr>
          <w:p w14:paraId="4D42480F">
            <w:pPr>
              <w:adjustRightInd w:val="0"/>
              <w:snapToGrid w:val="0"/>
              <w:spacing w:line="430" w:lineRule="exact"/>
              <w:ind w:firstLine="210" w:firstLineChars="100"/>
              <w:rPr>
                <w:color w:val="auto"/>
                <w:highlight w:val="none"/>
              </w:rPr>
            </w:pPr>
            <w:r>
              <w:rPr>
                <w:rFonts w:hint="eastAsia"/>
                <w:color w:val="auto"/>
                <w:highlight w:val="none"/>
              </w:rPr>
              <w:t>投标文件份数</w:t>
            </w:r>
            <w:r>
              <w:rPr>
                <w:color w:val="auto"/>
                <w:highlight w:val="none"/>
              </w:rPr>
              <w:t>：</w:t>
            </w:r>
            <w:r>
              <w:rPr>
                <w:rFonts w:hint="eastAsia"/>
                <w:color w:val="auto"/>
                <w:highlight w:val="none"/>
              </w:rPr>
              <w:t>正本</w:t>
            </w:r>
            <w:r>
              <w:rPr>
                <w:rFonts w:hint="eastAsia"/>
                <w:b/>
                <w:color w:val="auto"/>
                <w:highlight w:val="none"/>
                <w:u w:val="single"/>
              </w:rPr>
              <w:t>壹</w:t>
            </w:r>
            <w:r>
              <w:rPr>
                <w:rFonts w:hint="eastAsia"/>
                <w:color w:val="auto"/>
                <w:highlight w:val="none"/>
              </w:rPr>
              <w:t>份</w:t>
            </w:r>
            <w:r>
              <w:rPr>
                <w:color w:val="auto"/>
                <w:highlight w:val="none"/>
              </w:rPr>
              <w:t xml:space="preserve"> </w:t>
            </w:r>
            <w:r>
              <w:rPr>
                <w:rFonts w:hint="eastAsia"/>
                <w:color w:val="auto"/>
                <w:highlight w:val="none"/>
              </w:rPr>
              <w:t>副本</w:t>
            </w:r>
            <w:r>
              <w:rPr>
                <w:rFonts w:hint="eastAsia"/>
                <w:b/>
                <w:bCs/>
                <w:color w:val="auto"/>
                <w:highlight w:val="none"/>
                <w:u w:val="single"/>
              </w:rPr>
              <w:t>肆</w:t>
            </w:r>
            <w:r>
              <w:rPr>
                <w:rFonts w:hint="eastAsia"/>
                <w:color w:val="auto"/>
                <w:highlight w:val="none"/>
              </w:rPr>
              <w:t>份</w:t>
            </w:r>
          </w:p>
          <w:p w14:paraId="7559F34F">
            <w:pPr>
              <w:adjustRightInd w:val="0"/>
              <w:snapToGrid w:val="0"/>
              <w:spacing w:line="430" w:lineRule="exact"/>
              <w:ind w:firstLine="210" w:firstLineChars="100"/>
              <w:rPr>
                <w:rFonts w:hint="eastAsia" w:eastAsia="宋体" w:asciiTheme="minorEastAsia" w:hAnsiTheme="minorEastAsia"/>
                <w:color w:val="auto"/>
                <w:szCs w:val="21"/>
                <w:highlight w:val="none"/>
                <w:lang w:eastAsia="zh-CN"/>
              </w:rPr>
            </w:pPr>
            <w:r>
              <w:rPr>
                <w:rFonts w:hint="eastAsia"/>
                <w:color w:val="auto"/>
                <w:highlight w:val="none"/>
              </w:rPr>
              <w:t>是否要求提交电子版文件：投标文件所有内容电子版</w:t>
            </w:r>
            <w:r>
              <w:rPr>
                <w:rFonts w:hint="eastAsia"/>
                <w:color w:val="auto"/>
                <w:highlight w:val="none"/>
                <w:lang w:eastAsia="zh-CN"/>
              </w:rPr>
              <w:t>U盘</w:t>
            </w:r>
            <w:r>
              <w:rPr>
                <w:rFonts w:hint="eastAsia"/>
                <w:color w:val="auto"/>
                <w:highlight w:val="none"/>
              </w:rPr>
              <w:t>贰</w:t>
            </w:r>
            <w:r>
              <w:rPr>
                <w:rFonts w:hint="eastAsia"/>
                <w:color w:val="auto"/>
                <w:highlight w:val="none"/>
                <w:lang w:val="en-US" w:eastAsia="zh-CN"/>
              </w:rPr>
              <w:t>份</w:t>
            </w:r>
            <w:r>
              <w:rPr>
                <w:rFonts w:hint="eastAsia"/>
                <w:color w:val="auto"/>
                <w:highlight w:val="none"/>
              </w:rPr>
              <w:t>。应存放完整投标文件“</w:t>
            </w:r>
            <w:r>
              <w:rPr>
                <w:rFonts w:hint="eastAsia" w:asciiTheme="minorEastAsia" w:hAnsiTheme="minorEastAsia" w:eastAsiaTheme="minorEastAsia"/>
                <w:color w:val="auto"/>
                <w:szCs w:val="21"/>
                <w:highlight w:val="none"/>
              </w:rPr>
              <w:t>Word版电子文档</w:t>
            </w:r>
            <w:r>
              <w:rPr>
                <w:rFonts w:hint="eastAsia"/>
                <w:color w:val="auto"/>
                <w:highlight w:val="none"/>
              </w:rPr>
              <w:t>”</w:t>
            </w:r>
            <w:r>
              <w:rPr>
                <w:rFonts w:hint="eastAsia"/>
                <w:color w:val="auto"/>
                <w:highlight w:val="none"/>
                <w:lang w:val="en-US" w:eastAsia="zh-CN"/>
              </w:rPr>
              <w:t>及</w:t>
            </w:r>
            <w:r>
              <w:rPr>
                <w:rFonts w:hint="eastAsia"/>
                <w:color w:val="auto"/>
                <w:highlight w:val="none"/>
              </w:rPr>
              <w:t>“</w:t>
            </w:r>
            <w:r>
              <w:rPr>
                <w:rFonts w:hint="eastAsia" w:asciiTheme="minorEastAsia" w:hAnsiTheme="minorEastAsia" w:eastAsiaTheme="minorEastAsia"/>
                <w:color w:val="auto"/>
                <w:szCs w:val="21"/>
                <w:highlight w:val="none"/>
              </w:rPr>
              <w:t>加盖公章的扫描件</w:t>
            </w:r>
            <w:r>
              <w:rPr>
                <w:rFonts w:hint="eastAsia"/>
                <w:color w:val="auto"/>
                <w:highlight w:val="none"/>
              </w:rPr>
              <w:t>PDF格式”</w:t>
            </w:r>
            <w:r>
              <w:rPr>
                <w:rFonts w:hint="eastAsia"/>
                <w:color w:val="auto"/>
                <w:highlight w:val="none"/>
                <w:lang w:eastAsia="zh-CN"/>
              </w:rPr>
              <w:t>。</w:t>
            </w:r>
          </w:p>
        </w:tc>
      </w:tr>
      <w:tr w14:paraId="09D4B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969" w:type="dxa"/>
            <w:tcBorders>
              <w:top w:val="single" w:color="auto" w:sz="4" w:space="0"/>
              <w:left w:val="single" w:color="auto" w:sz="4" w:space="0"/>
              <w:bottom w:val="single" w:color="auto" w:sz="4" w:space="0"/>
              <w:right w:val="single" w:color="auto" w:sz="4" w:space="0"/>
            </w:tcBorders>
            <w:vAlign w:val="center"/>
          </w:tcPr>
          <w:p w14:paraId="118B66E5">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3.7.3A(3)</w:t>
            </w:r>
          </w:p>
        </w:tc>
        <w:tc>
          <w:tcPr>
            <w:tcW w:w="1829" w:type="dxa"/>
            <w:tcBorders>
              <w:top w:val="single" w:color="auto" w:sz="4" w:space="0"/>
              <w:left w:val="single" w:color="auto" w:sz="4" w:space="0"/>
              <w:bottom w:val="single" w:color="auto" w:sz="4" w:space="0"/>
              <w:right w:val="single" w:color="auto" w:sz="4" w:space="0"/>
            </w:tcBorders>
            <w:vAlign w:val="center"/>
          </w:tcPr>
          <w:p w14:paraId="72BE2FFA">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投标文件是否需要分册装订</w:t>
            </w:r>
          </w:p>
        </w:tc>
        <w:tc>
          <w:tcPr>
            <w:tcW w:w="6289" w:type="dxa"/>
            <w:tcBorders>
              <w:top w:val="single" w:color="auto" w:sz="4" w:space="0"/>
              <w:left w:val="single" w:color="auto" w:sz="4" w:space="0"/>
              <w:bottom w:val="single" w:color="auto" w:sz="4" w:space="0"/>
              <w:right w:val="single" w:color="auto" w:sz="4" w:space="0"/>
            </w:tcBorders>
            <w:vAlign w:val="center"/>
          </w:tcPr>
          <w:p w14:paraId="5A22243C">
            <w:pPr>
              <w:adjustRightInd w:val="0"/>
              <w:snapToGrid w:val="0"/>
              <w:spacing w:line="430" w:lineRule="exac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shd w:val="clear" w:color="auto" w:fill="FFFFFF"/>
              </w:rPr>
              <w:t>需要</w:t>
            </w:r>
          </w:p>
          <w:p w14:paraId="41953D5E">
            <w:pPr>
              <w:adjustRightInd w:val="0"/>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▉不</w:t>
            </w:r>
            <w:r>
              <w:rPr>
                <w:rFonts w:hint="eastAsia" w:asciiTheme="minorEastAsia" w:hAnsiTheme="minorEastAsia" w:eastAsiaTheme="minorEastAsia"/>
                <w:color w:val="auto"/>
                <w:szCs w:val="21"/>
                <w:highlight w:val="none"/>
              </w:rPr>
              <w:t>需要，装订要求：</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、每册采用</w:t>
            </w:r>
            <w:r>
              <w:rPr>
                <w:rFonts w:hint="eastAsia" w:asciiTheme="minorEastAsia" w:hAnsiTheme="minorEastAsia" w:eastAsiaTheme="minorEastAsia"/>
                <w:color w:val="auto"/>
                <w:szCs w:val="21"/>
                <w:highlight w:val="none"/>
                <w:u w:val="single"/>
              </w:rPr>
              <w:t>左侧书本</w:t>
            </w:r>
            <w:r>
              <w:rPr>
                <w:rFonts w:hint="eastAsia" w:asciiTheme="minorEastAsia" w:hAnsiTheme="minorEastAsia" w:eastAsiaTheme="minorEastAsia"/>
                <w:color w:val="auto"/>
                <w:szCs w:val="21"/>
                <w:highlight w:val="none"/>
              </w:rPr>
              <w:t>方式胶装，装订应牢固、不易拆散、不可换页，</w:t>
            </w:r>
            <w:r>
              <w:rPr>
                <w:rFonts w:hint="eastAsia" w:asciiTheme="minorEastAsia" w:hAnsiTheme="minorEastAsia" w:eastAsiaTheme="minorEastAsia"/>
                <w:b/>
                <w:color w:val="auto"/>
                <w:szCs w:val="21"/>
                <w:highlight w:val="none"/>
              </w:rPr>
              <w:t>不得采用活页装订</w:t>
            </w:r>
            <w:r>
              <w:rPr>
                <w:rFonts w:hint="eastAsia" w:asciiTheme="minorEastAsia" w:hAnsiTheme="minorEastAsia" w:eastAsiaTheme="minorEastAsia"/>
                <w:color w:val="auto"/>
                <w:szCs w:val="21"/>
                <w:highlight w:val="none"/>
              </w:rPr>
              <w:t>。</w:t>
            </w:r>
          </w:p>
          <w:p w14:paraId="500A2087">
            <w:pPr>
              <w:numPr>
                <w:ilvl w:val="0"/>
                <w:numId w:val="4"/>
              </w:numPr>
              <w:adjustRightInd w:val="0"/>
              <w:snapToGrid w:val="0"/>
              <w:spacing w:line="430" w:lineRule="exac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投标文件所有内容电子版格式必须保证</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kern w:val="0"/>
                <w:szCs w:val="21"/>
                <w:highlight w:val="none"/>
                <w:u w:val="single"/>
              </w:rPr>
              <w:t>能够有效地表现所载内容并可供随时调取查用；同时可以可靠地保证自最终形成时起，内容保持完整、未被更改（在数据电文上增加背书以及数据交换、储存和显示过程中发生的形式变化不影响数据电文的完整性）的满足法律、法规规定的原件形式要求</w:t>
            </w:r>
            <w:r>
              <w:rPr>
                <w:rFonts w:asciiTheme="minorEastAsia" w:hAnsiTheme="minorEastAsia" w:eastAsiaTheme="minorEastAsia"/>
                <w:color w:val="auto"/>
                <w:kern w:val="0"/>
                <w:szCs w:val="21"/>
                <w:highlight w:val="none"/>
                <w:u w:val="single"/>
              </w:rPr>
              <w:t>”</w:t>
            </w:r>
            <w:r>
              <w:rPr>
                <w:rFonts w:hint="eastAsia" w:asciiTheme="minorEastAsia" w:hAnsiTheme="minorEastAsia" w:eastAsiaTheme="minorEastAsia"/>
                <w:color w:val="auto"/>
                <w:kern w:val="0"/>
                <w:szCs w:val="21"/>
                <w:highlight w:val="none"/>
              </w:rPr>
              <w:t>，使用</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稳定的</w:t>
            </w:r>
            <w:r>
              <w:rPr>
                <w:rFonts w:asciiTheme="minorEastAsia" w:hAnsiTheme="minorEastAsia" w:eastAsiaTheme="minorEastAsia"/>
                <w:color w:val="auto"/>
                <w:kern w:val="0"/>
                <w:szCs w:val="21"/>
                <w:highlight w:val="none"/>
              </w:rPr>
              <w:t>PDF</w:t>
            </w:r>
            <w:r>
              <w:rPr>
                <w:rFonts w:hint="eastAsia" w:asciiTheme="minorEastAsia" w:hAnsiTheme="minorEastAsia" w:eastAsiaTheme="minorEastAsia"/>
                <w:color w:val="auto"/>
                <w:kern w:val="0"/>
                <w:szCs w:val="21"/>
                <w:highlight w:val="none"/>
              </w:rPr>
              <w:t>格式</w:t>
            </w:r>
            <w:r>
              <w:rPr>
                <w:rFonts w:hint="eastAsia" w:ascii="宋体" w:hAnsi="宋体"/>
                <w:b/>
                <w:color w:val="auto"/>
                <w:szCs w:val="21"/>
                <w:highlight w:val="none"/>
              </w:rPr>
              <w:t>的纸质投标文件正本扫描件（与纸质文件内容一致，包括签字盖章）</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和</w:t>
            </w:r>
            <w:r>
              <w:rPr>
                <w:rFonts w:asciiTheme="minorEastAsia" w:hAnsiTheme="minorEastAsia" w:eastAsiaTheme="minorEastAsia"/>
                <w:color w:val="auto"/>
                <w:kern w:val="0"/>
                <w:szCs w:val="21"/>
                <w:highlight w:val="none"/>
              </w:rPr>
              <w:t>“DOC</w:t>
            </w:r>
            <w:r>
              <w:rPr>
                <w:rFonts w:hint="eastAsia" w:asciiTheme="minorEastAsia" w:hAnsiTheme="minorEastAsia" w:eastAsiaTheme="minorEastAsia"/>
                <w:color w:val="auto"/>
                <w:kern w:val="0"/>
                <w:szCs w:val="21"/>
                <w:highlight w:val="none"/>
              </w:rPr>
              <w:t>格式</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lang w:val="en-US" w:eastAsia="zh-CN"/>
              </w:rPr>
              <w:t>文件</w:t>
            </w:r>
            <w:r>
              <w:rPr>
                <w:rFonts w:hint="eastAsia" w:asciiTheme="minorEastAsia" w:hAnsiTheme="minorEastAsia" w:eastAsiaTheme="minorEastAsia"/>
                <w:color w:val="auto"/>
                <w:kern w:val="0"/>
                <w:szCs w:val="21"/>
                <w:highlight w:val="none"/>
              </w:rPr>
              <w:t>。</w:t>
            </w:r>
          </w:p>
        </w:tc>
      </w:tr>
      <w:tr w14:paraId="7ADEE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969" w:type="dxa"/>
            <w:tcBorders>
              <w:top w:val="single" w:color="auto" w:sz="4" w:space="0"/>
              <w:left w:val="single" w:color="auto" w:sz="4" w:space="0"/>
              <w:right w:val="single" w:color="auto" w:sz="4" w:space="0"/>
            </w:tcBorders>
            <w:vAlign w:val="center"/>
          </w:tcPr>
          <w:p w14:paraId="46BFCDED">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3.7.3 (4)</w:t>
            </w:r>
          </w:p>
        </w:tc>
        <w:tc>
          <w:tcPr>
            <w:tcW w:w="1829" w:type="dxa"/>
            <w:tcBorders>
              <w:top w:val="single" w:color="auto" w:sz="4" w:space="0"/>
              <w:left w:val="single" w:color="auto" w:sz="4" w:space="0"/>
              <w:bottom w:val="single" w:color="auto" w:sz="4" w:space="0"/>
              <w:right w:val="single" w:color="auto" w:sz="4" w:space="0"/>
            </w:tcBorders>
            <w:vAlign w:val="center"/>
          </w:tcPr>
          <w:p w14:paraId="0D2CE3A4">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投标文件签字和盖章要求</w:t>
            </w:r>
          </w:p>
        </w:tc>
        <w:tc>
          <w:tcPr>
            <w:tcW w:w="6289" w:type="dxa"/>
            <w:tcBorders>
              <w:top w:val="single" w:color="auto" w:sz="4" w:space="0"/>
              <w:left w:val="single" w:color="auto" w:sz="4" w:space="0"/>
              <w:bottom w:val="single" w:color="auto" w:sz="4" w:space="0"/>
              <w:right w:val="single" w:color="auto" w:sz="4" w:space="0"/>
            </w:tcBorders>
            <w:vAlign w:val="center"/>
          </w:tcPr>
          <w:p w14:paraId="3CEB2F2C">
            <w:pPr>
              <w:tabs>
                <w:tab w:val="left" w:pos="720"/>
                <w:tab w:val="left" w:pos="747"/>
                <w:tab w:val="left" w:pos="900"/>
                <w:tab w:val="left" w:pos="966"/>
              </w:tabs>
              <w:adjustRightInd w:val="0"/>
              <w:snapToGrid w:val="0"/>
              <w:spacing w:line="430" w:lineRule="exact"/>
              <w:ind w:firstLine="210" w:firstLineChars="100"/>
              <w:rPr>
                <w:rFonts w:ascii="宋体" w:hAnsi="宋体"/>
                <w:color w:val="auto"/>
                <w:szCs w:val="21"/>
                <w:highlight w:val="none"/>
              </w:rPr>
            </w:pPr>
            <w:r>
              <w:rPr>
                <w:rFonts w:hint="eastAsia" w:ascii="宋体" w:hAnsi="宋体"/>
                <w:color w:val="auto"/>
                <w:szCs w:val="21"/>
                <w:highlight w:val="none"/>
              </w:rPr>
              <w:t>投标文件应用不褪色的材料书写或打印，封面或扉页必须加盖投标人公章及法定代表人签字或盖章。其它部分可由投标人的法定代表人或其委托代理人签字或加盖公章</w:t>
            </w:r>
            <w:r>
              <w:rPr>
                <w:rFonts w:hint="eastAsia" w:ascii="宋体" w:hAnsi="宋体"/>
                <w:bCs/>
                <w:color w:val="auto"/>
                <w:szCs w:val="21"/>
                <w:highlight w:val="none"/>
              </w:rPr>
              <w:t>方为有效（他人代签的无效，下同）</w:t>
            </w:r>
            <w:r>
              <w:rPr>
                <w:rFonts w:hint="eastAsia" w:ascii="宋体" w:hAnsi="宋体"/>
                <w:color w:val="auto"/>
                <w:szCs w:val="21"/>
                <w:highlight w:val="none"/>
              </w:rPr>
              <w:t>；</w:t>
            </w:r>
          </w:p>
          <w:p w14:paraId="7AC9F7B2">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宋体" w:hAnsi="宋体"/>
                <w:bCs/>
                <w:color w:val="auto"/>
                <w:szCs w:val="21"/>
                <w:highlight w:val="none"/>
              </w:rPr>
              <w:t>不能满足上述要求的投标文件按</w:t>
            </w:r>
            <w:r>
              <w:rPr>
                <w:rFonts w:hint="eastAsia" w:ascii="宋体" w:hAnsi="宋体"/>
                <w:b/>
                <w:bCs/>
                <w:color w:val="auto"/>
                <w:szCs w:val="21"/>
                <w:highlight w:val="none"/>
              </w:rPr>
              <w:t>否决投标</w:t>
            </w:r>
            <w:r>
              <w:rPr>
                <w:rFonts w:hint="eastAsia" w:ascii="宋体" w:hAnsi="宋体"/>
                <w:bCs/>
                <w:color w:val="auto"/>
                <w:szCs w:val="21"/>
                <w:highlight w:val="none"/>
              </w:rPr>
              <w:t>处理。</w:t>
            </w:r>
          </w:p>
        </w:tc>
      </w:tr>
      <w:tr w14:paraId="43791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9" w:type="dxa"/>
            <w:tcBorders>
              <w:top w:val="single" w:color="auto" w:sz="4" w:space="0"/>
              <w:left w:val="single" w:color="auto" w:sz="4" w:space="0"/>
              <w:bottom w:val="single" w:color="auto" w:sz="4" w:space="0"/>
              <w:right w:val="single" w:color="auto" w:sz="4" w:space="0"/>
            </w:tcBorders>
            <w:vAlign w:val="center"/>
          </w:tcPr>
          <w:p w14:paraId="3ABD85D7">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4.1.1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B</w:t>
            </w:r>
            <w:r>
              <w:rPr>
                <w:rFonts w:hint="eastAsia" w:asciiTheme="minorEastAsia" w:hAnsiTheme="minorEastAsia" w:eastAsiaTheme="minorEastAsia"/>
                <w:color w:val="auto"/>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2E25272A">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投标文件密封要求</w:t>
            </w:r>
          </w:p>
        </w:tc>
        <w:tc>
          <w:tcPr>
            <w:tcW w:w="6289" w:type="dxa"/>
            <w:tcBorders>
              <w:top w:val="single" w:color="auto" w:sz="4" w:space="0"/>
              <w:left w:val="single" w:color="auto" w:sz="4" w:space="0"/>
              <w:bottom w:val="single" w:color="auto" w:sz="4" w:space="0"/>
              <w:right w:val="single" w:color="auto" w:sz="4" w:space="0"/>
            </w:tcBorders>
            <w:vAlign w:val="center"/>
          </w:tcPr>
          <w:p w14:paraId="4EBA1930">
            <w:pPr>
              <w:adjustRightInd w:val="0"/>
              <w:snapToGrid w:val="0"/>
              <w:spacing w:line="430" w:lineRule="exact"/>
              <w:ind w:firstLine="211"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投标文件须按照以下要求包封：</w:t>
            </w:r>
          </w:p>
          <w:p w14:paraId="539811C8">
            <w:pPr>
              <w:adjustRightInd w:val="0"/>
              <w:snapToGrid w:val="0"/>
              <w:spacing w:line="420" w:lineRule="exact"/>
              <w:ind w:firstLine="105" w:firstLineChars="50"/>
              <w:rPr>
                <w:rFonts w:hint="eastAsia" w:ascii="宋体" w:hAnsi="宋体" w:eastAsia="宋体"/>
                <w:bCs/>
                <w:color w:val="auto"/>
                <w:szCs w:val="21"/>
                <w:highlight w:val="none"/>
                <w:lang w:eastAsia="zh-CN"/>
              </w:rPr>
            </w:pPr>
            <w:r>
              <w:rPr>
                <w:rFonts w:hint="eastAsia" w:ascii="宋体" w:hAnsi="宋体"/>
                <w:color w:val="auto"/>
                <w:szCs w:val="21"/>
                <w:highlight w:val="none"/>
              </w:rPr>
              <w:t>（1）投标人应将商务标、</w:t>
            </w:r>
            <w:r>
              <w:rPr>
                <w:rFonts w:ascii="宋体" w:hAnsi="宋体"/>
                <w:color w:val="auto"/>
                <w:szCs w:val="21"/>
                <w:highlight w:val="none"/>
              </w:rPr>
              <w:t>技术标、资格审查标</w:t>
            </w:r>
            <w:r>
              <w:rPr>
                <w:rFonts w:hint="eastAsia" w:ascii="宋体" w:hAnsi="宋体"/>
                <w:color w:val="auto"/>
                <w:szCs w:val="21"/>
                <w:highlight w:val="none"/>
              </w:rPr>
              <w:t>统一</w:t>
            </w:r>
            <w:r>
              <w:rPr>
                <w:rFonts w:ascii="宋体" w:hAnsi="宋体"/>
                <w:color w:val="auto"/>
                <w:szCs w:val="21"/>
                <w:highlight w:val="none"/>
              </w:rPr>
              <w:t>装订在一起，如分册</w:t>
            </w:r>
            <w:r>
              <w:rPr>
                <w:rFonts w:hint="eastAsia" w:ascii="宋体" w:hAnsi="宋体"/>
                <w:color w:val="auto"/>
                <w:szCs w:val="21"/>
                <w:highlight w:val="none"/>
              </w:rPr>
              <w:t>装订</w:t>
            </w:r>
            <w:r>
              <w:rPr>
                <w:rFonts w:ascii="宋体" w:hAnsi="宋体"/>
                <w:color w:val="auto"/>
                <w:szCs w:val="21"/>
                <w:highlight w:val="none"/>
              </w:rPr>
              <w:t>，须表明</w:t>
            </w:r>
            <w:r>
              <w:rPr>
                <w:rFonts w:hint="eastAsia" w:ascii="宋体" w:hAnsi="宋体"/>
                <w:color w:val="auto"/>
                <w:szCs w:val="21"/>
                <w:highlight w:val="none"/>
              </w:rPr>
              <w:t>第几册及</w:t>
            </w:r>
            <w:r>
              <w:rPr>
                <w:rFonts w:ascii="宋体" w:hAnsi="宋体"/>
                <w:color w:val="auto"/>
                <w:szCs w:val="21"/>
                <w:highlight w:val="none"/>
              </w:rPr>
              <w:t>总册数</w:t>
            </w:r>
            <w:r>
              <w:rPr>
                <w:rFonts w:hint="eastAsia" w:ascii="宋体" w:hAnsi="宋体"/>
                <w:color w:val="auto"/>
                <w:szCs w:val="21"/>
                <w:highlight w:val="none"/>
                <w:lang w:eastAsia="zh-CN"/>
              </w:rPr>
              <w:t>；</w:t>
            </w:r>
          </w:p>
          <w:p w14:paraId="41055D84">
            <w:pPr>
              <w:adjustRightInd w:val="0"/>
              <w:snapToGrid w:val="0"/>
              <w:spacing w:line="420" w:lineRule="exact"/>
              <w:ind w:firstLine="105" w:firstLineChars="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）投标所有内容电子版</w:t>
            </w:r>
            <w:r>
              <w:rPr>
                <w:rFonts w:hint="eastAsia" w:ascii="宋体" w:hAnsi="宋体"/>
                <w:color w:val="auto"/>
                <w:szCs w:val="21"/>
                <w:highlight w:val="none"/>
                <w:lang w:eastAsia="zh-CN"/>
              </w:rPr>
              <w:t>U盘</w:t>
            </w:r>
            <w:r>
              <w:rPr>
                <w:rFonts w:hint="eastAsia" w:ascii="宋体" w:hAnsi="宋体"/>
                <w:color w:val="auto"/>
                <w:szCs w:val="21"/>
                <w:highlight w:val="none"/>
              </w:rPr>
              <w:t>两</w:t>
            </w:r>
            <w:r>
              <w:rPr>
                <w:rFonts w:hint="eastAsia" w:ascii="宋体" w:hAnsi="宋体"/>
                <w:color w:val="auto"/>
                <w:szCs w:val="21"/>
                <w:highlight w:val="none"/>
                <w:lang w:val="en-US" w:eastAsia="zh-CN"/>
              </w:rPr>
              <w:t>份</w:t>
            </w:r>
            <w:r>
              <w:rPr>
                <w:rFonts w:hint="eastAsia" w:ascii="宋体" w:hAnsi="宋体"/>
                <w:color w:val="auto"/>
                <w:szCs w:val="21"/>
                <w:highlight w:val="none"/>
              </w:rPr>
              <w:t>单独放</w:t>
            </w:r>
            <w:r>
              <w:rPr>
                <w:rFonts w:hint="eastAsia" w:ascii="宋体" w:hAnsi="宋体"/>
                <w:color w:val="auto"/>
                <w:szCs w:val="21"/>
                <w:highlight w:val="none"/>
                <w:lang w:eastAsia="zh-CN"/>
              </w:rPr>
              <w:t>入</w:t>
            </w:r>
            <w:r>
              <w:rPr>
                <w:rFonts w:hint="eastAsia" w:ascii="宋体" w:hAnsi="宋体"/>
                <w:color w:val="auto"/>
                <w:szCs w:val="21"/>
                <w:highlight w:val="none"/>
              </w:rPr>
              <w:t>一个密封袋中，在封套封口处加盖密封章，在封套和</w:t>
            </w:r>
            <w:r>
              <w:rPr>
                <w:rFonts w:hint="eastAsia" w:ascii="宋体" w:hAnsi="宋体"/>
                <w:color w:val="auto"/>
                <w:szCs w:val="21"/>
                <w:highlight w:val="none"/>
                <w:lang w:eastAsia="zh-CN"/>
              </w:rPr>
              <w:t>U盘</w:t>
            </w:r>
            <w:r>
              <w:rPr>
                <w:rFonts w:hint="eastAsia" w:ascii="宋体" w:hAnsi="宋体"/>
                <w:color w:val="auto"/>
                <w:szCs w:val="21"/>
                <w:highlight w:val="none"/>
              </w:rPr>
              <w:t>表面上</w:t>
            </w:r>
            <w:r>
              <w:rPr>
                <w:rFonts w:hint="eastAsia" w:ascii="宋体" w:hAnsi="宋体"/>
                <w:color w:val="auto"/>
                <w:szCs w:val="21"/>
                <w:highlight w:val="none"/>
                <w:lang w:val="en-US" w:eastAsia="zh-CN"/>
              </w:rPr>
              <w:t>按第六章格式及内容进行</w:t>
            </w:r>
            <w:r>
              <w:rPr>
                <w:rFonts w:hint="eastAsia" w:ascii="宋体" w:hAnsi="宋体"/>
                <w:color w:val="auto"/>
                <w:szCs w:val="21"/>
                <w:highlight w:val="none"/>
              </w:rPr>
              <w:t>标记，并将此密封袋放入投标文件包封中一起密封；</w:t>
            </w:r>
          </w:p>
          <w:p w14:paraId="3CB5E6B7">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）所有包封均应加盖密封章。包封</w:t>
            </w:r>
            <w:r>
              <w:rPr>
                <w:rFonts w:ascii="宋体" w:hAnsi="宋体"/>
                <w:color w:val="auto"/>
                <w:szCs w:val="21"/>
                <w:highlight w:val="none"/>
              </w:rPr>
              <w:t>上</w:t>
            </w:r>
            <w:r>
              <w:rPr>
                <w:rFonts w:hint="eastAsia" w:ascii="宋体" w:hAnsi="宋体"/>
                <w:color w:val="auto"/>
                <w:szCs w:val="21"/>
                <w:highlight w:val="none"/>
              </w:rPr>
              <w:t>可以有辨识投标人身份</w:t>
            </w:r>
            <w:r>
              <w:rPr>
                <w:rFonts w:ascii="宋体" w:hAnsi="宋体"/>
                <w:color w:val="auto"/>
                <w:szCs w:val="21"/>
                <w:highlight w:val="none"/>
              </w:rPr>
              <w:t>的标识</w:t>
            </w:r>
            <w:r>
              <w:rPr>
                <w:rFonts w:hint="eastAsia" w:ascii="宋体" w:hAnsi="宋体"/>
                <w:color w:val="auto"/>
                <w:szCs w:val="21"/>
                <w:highlight w:val="none"/>
              </w:rPr>
              <w:t>；</w:t>
            </w:r>
          </w:p>
          <w:p w14:paraId="16CDEFA7">
            <w:pPr>
              <w:adjustRightInd w:val="0"/>
              <w:snapToGrid w:val="0"/>
              <w:spacing w:line="430" w:lineRule="exact"/>
              <w:ind w:firstLine="210" w:firstLineChars="100"/>
              <w:rPr>
                <w:rFonts w:hint="eastAsia" w:eastAsia="宋体" w:asciiTheme="minorEastAsia" w:hAnsiTheme="minorEastAsia"/>
                <w:color w:val="auto"/>
                <w:szCs w:val="21"/>
                <w:highlight w:val="none"/>
                <w:lang w:eastAsia="zh-CN"/>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）不能满足上述第1~</w:t>
            </w:r>
            <w:r>
              <w:rPr>
                <w:rFonts w:ascii="宋体" w:hAnsi="宋体"/>
                <w:color w:val="auto"/>
                <w:szCs w:val="21"/>
                <w:highlight w:val="none"/>
              </w:rPr>
              <w:t>3</w:t>
            </w:r>
            <w:r>
              <w:rPr>
                <w:rFonts w:hint="eastAsia" w:ascii="宋体" w:hAnsi="宋体"/>
                <w:color w:val="auto"/>
                <w:szCs w:val="21"/>
                <w:highlight w:val="none"/>
              </w:rPr>
              <w:t>条要求的投标，按</w:t>
            </w:r>
            <w:r>
              <w:rPr>
                <w:rFonts w:hint="eastAsia" w:ascii="宋体" w:hAnsi="宋体"/>
                <w:b/>
                <w:color w:val="auto"/>
                <w:szCs w:val="21"/>
                <w:highlight w:val="none"/>
              </w:rPr>
              <w:t>否决投标</w:t>
            </w:r>
            <w:r>
              <w:rPr>
                <w:rFonts w:hint="eastAsia" w:ascii="宋体" w:hAnsi="宋体"/>
                <w:color w:val="auto"/>
                <w:szCs w:val="21"/>
                <w:highlight w:val="none"/>
              </w:rPr>
              <w:t>处理</w:t>
            </w:r>
            <w:r>
              <w:rPr>
                <w:rFonts w:hint="eastAsia" w:ascii="宋体" w:hAnsi="宋体"/>
                <w:color w:val="auto"/>
                <w:szCs w:val="21"/>
                <w:highlight w:val="none"/>
                <w:lang w:eastAsia="zh-CN"/>
              </w:rPr>
              <w:t>。</w:t>
            </w:r>
          </w:p>
        </w:tc>
      </w:tr>
      <w:tr w14:paraId="7B99A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969" w:type="dxa"/>
            <w:tcBorders>
              <w:top w:val="single" w:color="auto" w:sz="4" w:space="0"/>
              <w:left w:val="single" w:color="auto" w:sz="4" w:space="0"/>
              <w:bottom w:val="single" w:color="auto" w:sz="4" w:space="0"/>
              <w:right w:val="single" w:color="auto" w:sz="4" w:space="0"/>
            </w:tcBorders>
            <w:vAlign w:val="center"/>
          </w:tcPr>
          <w:p w14:paraId="4287993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4.1.2</w:t>
            </w:r>
          </w:p>
        </w:tc>
        <w:tc>
          <w:tcPr>
            <w:tcW w:w="1829" w:type="dxa"/>
            <w:tcBorders>
              <w:top w:val="single" w:color="auto" w:sz="4" w:space="0"/>
              <w:left w:val="single" w:color="auto" w:sz="4" w:space="0"/>
              <w:bottom w:val="single" w:color="auto" w:sz="4" w:space="0"/>
              <w:right w:val="single" w:color="auto" w:sz="4" w:space="0"/>
            </w:tcBorders>
            <w:vAlign w:val="center"/>
          </w:tcPr>
          <w:p w14:paraId="1478F3AB">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封套上应载明的信息</w:t>
            </w:r>
          </w:p>
        </w:tc>
        <w:tc>
          <w:tcPr>
            <w:tcW w:w="6289" w:type="dxa"/>
            <w:tcBorders>
              <w:top w:val="single" w:color="auto" w:sz="4" w:space="0"/>
              <w:left w:val="single" w:color="auto" w:sz="4" w:space="0"/>
              <w:bottom w:val="single" w:color="auto" w:sz="4" w:space="0"/>
              <w:right w:val="single" w:color="auto" w:sz="4" w:space="0"/>
            </w:tcBorders>
            <w:vAlign w:val="center"/>
          </w:tcPr>
          <w:p w14:paraId="64918B67">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宋体" w:hAnsi="宋体"/>
                <w:color w:val="auto"/>
                <w:szCs w:val="21"/>
                <w:highlight w:val="none"/>
              </w:rPr>
              <w:t>详见第六章“投标文件格式”</w:t>
            </w:r>
          </w:p>
        </w:tc>
      </w:tr>
      <w:tr w14:paraId="54690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69" w:type="dxa"/>
            <w:tcBorders>
              <w:top w:val="single" w:color="auto" w:sz="4" w:space="0"/>
              <w:left w:val="single" w:color="auto" w:sz="4" w:space="0"/>
              <w:bottom w:val="single" w:color="auto" w:sz="4" w:space="0"/>
              <w:right w:val="single" w:color="auto" w:sz="4" w:space="0"/>
            </w:tcBorders>
            <w:vAlign w:val="center"/>
          </w:tcPr>
          <w:p w14:paraId="0EB55328">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4.2.1</w:t>
            </w:r>
          </w:p>
        </w:tc>
        <w:tc>
          <w:tcPr>
            <w:tcW w:w="1829" w:type="dxa"/>
            <w:tcBorders>
              <w:top w:val="single" w:color="auto" w:sz="4" w:space="0"/>
              <w:left w:val="single" w:color="auto" w:sz="4" w:space="0"/>
              <w:bottom w:val="single" w:color="auto" w:sz="4" w:space="0"/>
              <w:right w:val="single" w:color="auto" w:sz="4" w:space="0"/>
            </w:tcBorders>
            <w:vAlign w:val="center"/>
          </w:tcPr>
          <w:p w14:paraId="17ED6CC7">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投标文件递交</w:t>
            </w:r>
          </w:p>
          <w:p w14:paraId="5A8E93A3">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截止时间</w:t>
            </w:r>
          </w:p>
        </w:tc>
        <w:tc>
          <w:tcPr>
            <w:tcW w:w="6289" w:type="dxa"/>
            <w:tcBorders>
              <w:top w:val="single" w:color="auto" w:sz="4" w:space="0"/>
              <w:left w:val="single" w:color="auto" w:sz="4" w:space="0"/>
              <w:bottom w:val="single" w:color="auto" w:sz="4" w:space="0"/>
              <w:right w:val="single" w:color="auto" w:sz="4" w:space="0"/>
            </w:tcBorders>
            <w:vAlign w:val="center"/>
          </w:tcPr>
          <w:p w14:paraId="366259A2">
            <w:pPr>
              <w:adjustRightInd w:val="0"/>
              <w:snapToGrid w:val="0"/>
              <w:spacing w:line="430" w:lineRule="exact"/>
              <w:ind w:firstLine="211" w:firstLineChars="100"/>
              <w:rPr>
                <w:rFonts w:asciiTheme="minorEastAsia" w:hAnsiTheme="minorEastAsia" w:eastAsiaTheme="minorEastAsia"/>
                <w:b/>
                <w:color w:val="auto"/>
                <w:szCs w:val="21"/>
                <w:highlight w:val="none"/>
              </w:rPr>
            </w:pPr>
            <w:r>
              <w:rPr>
                <w:rFonts w:hint="eastAsia" w:ascii="宋体" w:hAnsi="宋体"/>
                <w:b/>
                <w:bCs/>
                <w:color w:val="auto"/>
                <w:szCs w:val="21"/>
                <w:highlight w:val="none"/>
                <w:u w:val="single"/>
                <w:lang w:eastAsia="zh-CN"/>
              </w:rPr>
              <w:t>2026年</w:t>
            </w:r>
            <w:r>
              <w:rPr>
                <w:rFonts w:hint="eastAsia" w:ascii="宋体" w:hAnsi="宋体"/>
                <w:b/>
                <w:bCs/>
                <w:color w:val="auto"/>
                <w:szCs w:val="21"/>
                <w:highlight w:val="none"/>
                <w:u w:val="single"/>
                <w:lang w:val="en-US" w:eastAsia="zh-CN"/>
              </w:rPr>
              <w:t>04</w:t>
            </w:r>
            <w:r>
              <w:rPr>
                <w:rFonts w:hint="eastAsia" w:ascii="宋体" w:hAnsi="宋体"/>
                <w:b/>
                <w:bCs/>
                <w:color w:val="auto"/>
                <w:szCs w:val="21"/>
                <w:highlight w:val="none"/>
                <w:u w:val="single"/>
                <w:lang w:eastAsia="zh-CN"/>
              </w:rPr>
              <w:t>月</w:t>
            </w:r>
            <w:r>
              <w:rPr>
                <w:rFonts w:hint="eastAsia" w:ascii="宋体" w:hAnsi="宋体"/>
                <w:b/>
                <w:bCs/>
                <w:color w:val="auto"/>
                <w:szCs w:val="21"/>
                <w:highlight w:val="none"/>
                <w:u w:val="single"/>
                <w:lang w:val="en-US" w:eastAsia="zh-CN"/>
              </w:rPr>
              <w:t>24</w:t>
            </w:r>
            <w:r>
              <w:rPr>
                <w:rFonts w:hint="eastAsia" w:ascii="宋体" w:hAnsi="宋体"/>
                <w:b/>
                <w:bCs/>
                <w:color w:val="auto"/>
                <w:szCs w:val="21"/>
                <w:highlight w:val="none"/>
                <w:u w:val="single"/>
                <w:lang w:eastAsia="zh-CN"/>
              </w:rPr>
              <w:t>日</w:t>
            </w:r>
            <w:r>
              <w:rPr>
                <w:rFonts w:hint="eastAsia" w:ascii="宋体" w:hAnsi="宋体"/>
                <w:b/>
                <w:bCs/>
                <w:color w:val="auto"/>
                <w:szCs w:val="21"/>
                <w:highlight w:val="none"/>
                <w:u w:val="single"/>
                <w:lang w:val="en-US" w:eastAsia="zh-CN"/>
              </w:rPr>
              <w:t>14</w:t>
            </w:r>
            <w:r>
              <w:rPr>
                <w:rFonts w:hint="eastAsia" w:ascii="宋体" w:hAnsi="宋体"/>
                <w:b/>
                <w:bCs/>
                <w:color w:val="auto"/>
                <w:szCs w:val="21"/>
                <w:highlight w:val="none"/>
                <w:u w:val="single"/>
                <w:lang w:eastAsia="zh-CN"/>
              </w:rPr>
              <w:t>时</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u w:val="single"/>
                <w:lang w:eastAsia="zh-CN"/>
              </w:rPr>
              <w:t>0分</w:t>
            </w:r>
          </w:p>
        </w:tc>
      </w:tr>
      <w:tr w14:paraId="47317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69" w:type="dxa"/>
            <w:tcBorders>
              <w:top w:val="single" w:color="auto" w:sz="4" w:space="0"/>
              <w:left w:val="single" w:color="auto" w:sz="4" w:space="0"/>
              <w:bottom w:val="single" w:color="auto" w:sz="4" w:space="0"/>
              <w:right w:val="single" w:color="auto" w:sz="4" w:space="0"/>
            </w:tcBorders>
            <w:vAlign w:val="center"/>
          </w:tcPr>
          <w:p w14:paraId="54725FFE">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A</w:t>
            </w:r>
            <w:r>
              <w:rPr>
                <w:rFonts w:hint="eastAsia" w:asciiTheme="minorEastAsia" w:hAnsiTheme="minorEastAsia" w:eastAsiaTheme="minorEastAsia"/>
                <w:color w:val="auto"/>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6510E231">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递交投标文件地点</w:t>
            </w:r>
          </w:p>
        </w:tc>
        <w:tc>
          <w:tcPr>
            <w:tcW w:w="6289" w:type="dxa"/>
            <w:tcBorders>
              <w:top w:val="single" w:color="auto" w:sz="4" w:space="0"/>
              <w:left w:val="single" w:color="auto" w:sz="4" w:space="0"/>
              <w:bottom w:val="single" w:color="auto" w:sz="4" w:space="0"/>
              <w:right w:val="single" w:color="auto" w:sz="4" w:space="0"/>
            </w:tcBorders>
            <w:vAlign w:val="center"/>
          </w:tcPr>
          <w:p w14:paraId="6674CF67">
            <w:pPr>
              <w:adjustRightInd w:val="0"/>
              <w:snapToGrid w:val="0"/>
              <w:spacing w:line="430" w:lineRule="exact"/>
              <w:ind w:firstLine="210" w:firstLineChars="100"/>
              <w:rPr>
                <w:rFonts w:hint="eastAsia" w:asciiTheme="minorEastAsia" w:hAnsiTheme="minorEastAsia" w:eastAsiaTheme="minorEastAsia"/>
                <w:color w:val="auto"/>
                <w:szCs w:val="21"/>
                <w:highlight w:val="none"/>
                <w:lang w:eastAsia="zh-CN"/>
              </w:rPr>
            </w:pPr>
            <w:r>
              <w:rPr>
                <w:rFonts w:hint="eastAsia" w:ascii="宋体" w:hAnsi="宋体" w:cs="宋体" w:eastAsiaTheme="minorEastAsia"/>
                <w:color w:val="auto"/>
                <w:kern w:val="0"/>
                <w:szCs w:val="21"/>
                <w:highlight w:val="none"/>
                <w:lang w:eastAsia="zh-CN"/>
              </w:rPr>
              <w:t>哈尔滨市道里区抚顺街1号，哈尔滨产权交易所一楼标书受理处</w:t>
            </w:r>
          </w:p>
        </w:tc>
      </w:tr>
      <w:tr w14:paraId="4CC82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69" w:type="dxa"/>
            <w:tcBorders>
              <w:top w:val="single" w:color="auto" w:sz="4" w:space="0"/>
              <w:left w:val="single" w:color="auto" w:sz="4" w:space="0"/>
              <w:bottom w:val="single" w:color="auto" w:sz="4" w:space="0"/>
              <w:right w:val="single" w:color="auto" w:sz="4" w:space="0"/>
            </w:tcBorders>
            <w:vAlign w:val="center"/>
          </w:tcPr>
          <w:p w14:paraId="481D70FC">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4.2.3</w:t>
            </w:r>
          </w:p>
        </w:tc>
        <w:tc>
          <w:tcPr>
            <w:tcW w:w="1829" w:type="dxa"/>
            <w:tcBorders>
              <w:top w:val="single" w:color="auto" w:sz="4" w:space="0"/>
              <w:left w:val="single" w:color="auto" w:sz="4" w:space="0"/>
              <w:bottom w:val="single" w:color="auto" w:sz="4" w:space="0"/>
              <w:right w:val="single" w:color="auto" w:sz="4" w:space="0"/>
            </w:tcBorders>
            <w:vAlign w:val="center"/>
          </w:tcPr>
          <w:p w14:paraId="3BEDACBF">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投标文件是否退还</w:t>
            </w:r>
          </w:p>
        </w:tc>
        <w:tc>
          <w:tcPr>
            <w:tcW w:w="6289" w:type="dxa"/>
            <w:tcBorders>
              <w:top w:val="single" w:color="auto" w:sz="4" w:space="0"/>
              <w:left w:val="single" w:color="auto" w:sz="4" w:space="0"/>
              <w:bottom w:val="single" w:color="auto" w:sz="4" w:space="0"/>
              <w:right w:val="single" w:color="auto" w:sz="4" w:space="0"/>
            </w:tcBorders>
            <w:vAlign w:val="center"/>
          </w:tcPr>
          <w:p w14:paraId="340FBEA2">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b/>
                <w:color w:val="auto"/>
                <w:szCs w:val="21"/>
                <w:highlight w:val="none"/>
              </w:rPr>
              <w:t>否</w:t>
            </w:r>
          </w:p>
          <w:p w14:paraId="285CF549">
            <w:pPr>
              <w:adjustRightInd w:val="0"/>
              <w:snapToGrid w:val="0"/>
              <w:spacing w:line="430" w:lineRule="exact"/>
              <w:ind w:firstLine="210" w:firstLineChars="100"/>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shd w:val="clear" w:color="auto" w:fill="FFFFFF"/>
              </w:rPr>
              <w:t>□是</w:t>
            </w:r>
            <w:r>
              <w:rPr>
                <w:rFonts w:hint="eastAsia" w:asciiTheme="minorEastAsia" w:hAnsiTheme="minorEastAsia" w:eastAsiaTheme="minorEastAsia"/>
                <w:color w:val="auto"/>
                <w:szCs w:val="21"/>
                <w:highlight w:val="none"/>
              </w:rPr>
              <w:t>，退还时间：无</w:t>
            </w:r>
          </w:p>
        </w:tc>
      </w:tr>
      <w:tr w14:paraId="69B69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3ECB02CF">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5.1</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A</w:t>
            </w:r>
            <w:r>
              <w:rPr>
                <w:rFonts w:hint="eastAsia" w:asciiTheme="minorEastAsia" w:hAnsiTheme="minorEastAsia" w:eastAsiaTheme="minorEastAsia"/>
                <w:color w:val="auto"/>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202116DB">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开标时间和地点</w:t>
            </w:r>
          </w:p>
        </w:tc>
        <w:tc>
          <w:tcPr>
            <w:tcW w:w="6289" w:type="dxa"/>
            <w:tcBorders>
              <w:top w:val="single" w:color="auto" w:sz="4" w:space="0"/>
              <w:left w:val="single" w:color="auto" w:sz="4" w:space="0"/>
              <w:bottom w:val="single" w:color="auto" w:sz="4" w:space="0"/>
              <w:right w:val="single" w:color="auto" w:sz="4" w:space="0"/>
            </w:tcBorders>
            <w:vAlign w:val="center"/>
          </w:tcPr>
          <w:p w14:paraId="234EB0ED">
            <w:pPr>
              <w:adjustRightInd w:val="0"/>
              <w:snapToGrid w:val="0"/>
              <w:spacing w:line="420" w:lineRule="exact"/>
              <w:ind w:left="210" w:leftChars="100"/>
              <w:rPr>
                <w:rFonts w:ascii="宋体" w:hAnsi="宋体"/>
                <w:color w:val="auto"/>
                <w:szCs w:val="21"/>
                <w:highlight w:val="none"/>
              </w:rPr>
            </w:pPr>
            <w:r>
              <w:rPr>
                <w:rFonts w:hint="eastAsia" w:ascii="宋体" w:hAnsi="宋体"/>
                <w:b/>
                <w:bCs/>
                <w:color w:val="auto"/>
                <w:szCs w:val="21"/>
                <w:highlight w:val="none"/>
              </w:rPr>
              <w:t>开标时间：</w:t>
            </w:r>
            <w:r>
              <w:rPr>
                <w:rFonts w:hint="eastAsia" w:ascii="宋体" w:hAnsi="宋体"/>
                <w:b/>
                <w:bCs/>
                <w:color w:val="auto"/>
                <w:szCs w:val="21"/>
                <w:highlight w:val="none"/>
                <w:lang w:eastAsia="zh-CN"/>
              </w:rPr>
              <w:t>同投标文件递交截止时间</w:t>
            </w:r>
          </w:p>
          <w:p w14:paraId="73B9CB57">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开标地点：哈尔滨产权交易所有限责任公司（</w:t>
            </w:r>
            <w:r>
              <w:rPr>
                <w:rFonts w:hint="eastAsia" w:ascii="宋体" w:hAnsi="宋体"/>
                <w:color w:val="auto"/>
                <w:szCs w:val="21"/>
                <w:highlight w:val="none"/>
                <w:lang w:val="en-US" w:eastAsia="zh-CN"/>
              </w:rPr>
              <w:t>哈尔滨市道里区抚顺街1号</w:t>
            </w:r>
            <w:r>
              <w:rPr>
                <w:rFonts w:hint="eastAsia" w:ascii="宋体" w:hAnsi="宋体"/>
                <w:color w:val="auto"/>
                <w:szCs w:val="21"/>
                <w:highlight w:val="none"/>
                <w:lang w:eastAsia="zh-CN"/>
              </w:rPr>
              <w:t>哈尔滨产权交易所有限责任公司开标室</w:t>
            </w:r>
            <w:r>
              <w:rPr>
                <w:rFonts w:hint="eastAsia" w:ascii="宋体" w:hAnsi="宋体"/>
                <w:color w:val="auto"/>
                <w:szCs w:val="21"/>
                <w:highlight w:val="none"/>
              </w:rPr>
              <w:t>）</w:t>
            </w:r>
          </w:p>
        </w:tc>
      </w:tr>
      <w:tr w14:paraId="0B408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7CBBC547">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A</w:t>
            </w:r>
            <w:r>
              <w:rPr>
                <w:rFonts w:hint="eastAsia" w:asciiTheme="minorEastAsia" w:hAnsiTheme="minorEastAsia" w:eastAsiaTheme="minorEastAsia"/>
                <w:color w:val="auto"/>
                <w:szCs w:val="21"/>
                <w:highlight w:val="none"/>
              </w:rPr>
              <w:t>）</w:t>
            </w:r>
          </w:p>
        </w:tc>
        <w:tc>
          <w:tcPr>
            <w:tcW w:w="1829" w:type="dxa"/>
            <w:tcBorders>
              <w:top w:val="single" w:color="auto" w:sz="4" w:space="0"/>
              <w:left w:val="single" w:color="auto" w:sz="4" w:space="0"/>
              <w:bottom w:val="single" w:color="auto" w:sz="4" w:space="0"/>
              <w:right w:val="single" w:color="auto" w:sz="4" w:space="0"/>
            </w:tcBorders>
            <w:vAlign w:val="center"/>
          </w:tcPr>
          <w:p w14:paraId="614B59F9">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开标程序</w:t>
            </w:r>
          </w:p>
        </w:tc>
        <w:tc>
          <w:tcPr>
            <w:tcW w:w="6289" w:type="dxa"/>
            <w:tcBorders>
              <w:top w:val="single" w:color="auto" w:sz="4" w:space="0"/>
              <w:left w:val="single" w:color="auto" w:sz="4" w:space="0"/>
              <w:bottom w:val="single" w:color="auto" w:sz="4" w:space="0"/>
              <w:right w:val="single" w:color="auto" w:sz="4" w:space="0"/>
            </w:tcBorders>
            <w:vAlign w:val="center"/>
          </w:tcPr>
          <w:p w14:paraId="6E81D0F2">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开标会由</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人</w:t>
            </w:r>
            <w:r>
              <w:rPr>
                <w:rFonts w:hint="eastAsia" w:ascii="宋体" w:hAnsi="宋体"/>
                <w:color w:val="auto"/>
                <w:szCs w:val="21"/>
                <w:highlight w:val="none"/>
              </w:rPr>
              <w:t>主持，详细顺序如下：</w:t>
            </w:r>
          </w:p>
          <w:p w14:paraId="214E7EBE">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1、投标人应当在招标文件要求的提交投标文件截止时间前，将投标文件密封送达投标地点。招标人拒绝接收逾期送达或者不按照招标文件要求密封的投标文件；</w:t>
            </w:r>
          </w:p>
          <w:p w14:paraId="784BF589">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2、至投标截止时间止，所有已接收的投标文件均当众启封并唱标，且不再退还投标人；按规定提交撤回通知的投标文件不予开封，并退给投标人；</w:t>
            </w:r>
          </w:p>
          <w:p w14:paraId="67032D8B">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3、投标人检查投标文件的密封情况；</w:t>
            </w:r>
          </w:p>
          <w:p w14:paraId="393C1038">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4、宣布开标人、唱标人、记录人、监标人等有关人员。由招标工作人员开启投标文件，并逐一宣读投标报价、质量</w:t>
            </w:r>
            <w:r>
              <w:rPr>
                <w:rFonts w:hint="eastAsia" w:ascii="宋体" w:hAnsi="宋体"/>
                <w:color w:val="auto"/>
                <w:szCs w:val="21"/>
                <w:highlight w:val="none"/>
                <w:lang w:val="en-US" w:eastAsia="zh-CN"/>
              </w:rPr>
              <w:t>标准</w:t>
            </w:r>
            <w:r>
              <w:rPr>
                <w:rFonts w:hint="eastAsia" w:ascii="宋体" w:hAnsi="宋体"/>
                <w:color w:val="auto"/>
                <w:szCs w:val="21"/>
                <w:highlight w:val="none"/>
              </w:rPr>
              <w:t>、</w:t>
            </w:r>
            <w:r>
              <w:rPr>
                <w:rFonts w:hint="eastAsia" w:ascii="宋体" w:hAnsi="宋体"/>
                <w:color w:val="auto"/>
                <w:szCs w:val="21"/>
                <w:highlight w:val="none"/>
                <w:lang w:eastAsia="zh-CN"/>
              </w:rPr>
              <w:t>供货时间/服务期限</w:t>
            </w:r>
            <w:r>
              <w:rPr>
                <w:rFonts w:hint="eastAsia" w:ascii="宋体" w:hAnsi="宋体"/>
                <w:color w:val="auto"/>
                <w:szCs w:val="21"/>
                <w:highlight w:val="none"/>
              </w:rPr>
              <w:t xml:space="preserve">、承诺等投标主要内容； </w:t>
            </w:r>
          </w:p>
          <w:p w14:paraId="0095C85E">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5、未中标人的投标文件在中标人与招标人签订合同后不予保存。</w:t>
            </w:r>
          </w:p>
        </w:tc>
      </w:tr>
      <w:tr w14:paraId="77B05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69" w:type="dxa"/>
            <w:tcBorders>
              <w:top w:val="single" w:color="auto" w:sz="4" w:space="0"/>
              <w:left w:val="single" w:color="auto" w:sz="4" w:space="0"/>
              <w:bottom w:val="single" w:color="auto" w:sz="4" w:space="0"/>
              <w:right w:val="single" w:color="auto" w:sz="4" w:space="0"/>
            </w:tcBorders>
            <w:vAlign w:val="center"/>
          </w:tcPr>
          <w:p w14:paraId="72B28F1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6.1.1</w:t>
            </w:r>
          </w:p>
        </w:tc>
        <w:tc>
          <w:tcPr>
            <w:tcW w:w="1829" w:type="dxa"/>
            <w:tcBorders>
              <w:top w:val="single" w:color="auto" w:sz="4" w:space="0"/>
              <w:left w:val="single" w:color="auto" w:sz="4" w:space="0"/>
              <w:bottom w:val="single" w:color="auto" w:sz="4" w:space="0"/>
              <w:right w:val="single" w:color="auto" w:sz="4" w:space="0"/>
            </w:tcBorders>
            <w:vAlign w:val="center"/>
          </w:tcPr>
          <w:p w14:paraId="014620E3">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评标委员会的组建</w:t>
            </w:r>
          </w:p>
        </w:tc>
        <w:tc>
          <w:tcPr>
            <w:tcW w:w="6289" w:type="dxa"/>
            <w:tcBorders>
              <w:top w:val="single" w:color="auto" w:sz="4" w:space="0"/>
              <w:left w:val="single" w:color="auto" w:sz="4" w:space="0"/>
              <w:bottom w:val="single" w:color="auto" w:sz="4" w:space="0"/>
              <w:right w:val="single" w:color="auto" w:sz="4" w:space="0"/>
            </w:tcBorders>
            <w:vAlign w:val="center"/>
          </w:tcPr>
          <w:p w14:paraId="50505F25">
            <w:pPr>
              <w:adjustRightInd w:val="0"/>
              <w:snapToGrid w:val="0"/>
              <w:spacing w:line="430" w:lineRule="exact"/>
              <w:ind w:firstLine="210" w:firstLineChars="100"/>
              <w:rPr>
                <w:color w:val="auto"/>
                <w:szCs w:val="24"/>
                <w:highlight w:val="none"/>
              </w:rPr>
            </w:pPr>
            <w:r>
              <w:rPr>
                <w:rFonts w:hint="eastAsia"/>
                <w:color w:val="auto"/>
                <w:szCs w:val="24"/>
                <w:highlight w:val="none"/>
              </w:rPr>
              <w:t>评标委员会构成：</w:t>
            </w:r>
            <w:bookmarkStart w:id="1" w:name="OLE_LINK138"/>
            <w:r>
              <w:rPr>
                <w:rFonts w:hint="eastAsia"/>
                <w:color w:val="auto"/>
                <w:szCs w:val="24"/>
                <w:highlight w:val="none"/>
                <w:u w:val="single"/>
              </w:rPr>
              <w:t xml:space="preserve"> 5 </w:t>
            </w:r>
            <w:r>
              <w:rPr>
                <w:rFonts w:hint="eastAsia"/>
                <w:color w:val="auto"/>
                <w:szCs w:val="24"/>
                <w:highlight w:val="none"/>
              </w:rPr>
              <w:t>人；</w:t>
            </w:r>
          </w:p>
          <w:bookmarkEnd w:id="1"/>
          <w:p w14:paraId="18CB5CF5">
            <w:pPr>
              <w:adjustRightInd w:val="0"/>
              <w:snapToGrid w:val="0"/>
              <w:spacing w:line="430" w:lineRule="exact"/>
              <w:rPr>
                <w:color w:val="auto"/>
                <w:szCs w:val="24"/>
                <w:highlight w:val="none"/>
              </w:rPr>
            </w:pPr>
            <w:r>
              <w:rPr>
                <w:rFonts w:hint="eastAsia"/>
                <w:color w:val="auto"/>
                <w:szCs w:val="24"/>
                <w:highlight w:val="none"/>
              </w:rPr>
              <w:t xml:space="preserve">  评标专家确定方式：</w:t>
            </w:r>
          </w:p>
          <w:p w14:paraId="2C5C4EF0">
            <w:pPr>
              <w:adjustRightInd w:val="0"/>
              <w:snapToGrid w:val="0"/>
              <w:spacing w:line="430" w:lineRule="exact"/>
              <w:ind w:firstLine="210" w:firstLineChars="100"/>
              <w:rPr>
                <w:rFonts w:hAnsi="宋体"/>
                <w:color w:val="auto"/>
                <w:sz w:val="21"/>
                <w:szCs w:val="21"/>
                <w:highlight w:val="none"/>
              </w:rPr>
            </w:pPr>
            <w:r>
              <w:rPr>
                <w:rFonts w:hint="eastAsia"/>
                <w:color w:val="auto"/>
                <w:szCs w:val="24"/>
                <w:highlight w:val="none"/>
              </w:rPr>
              <w:t>技术</w:t>
            </w:r>
            <w:r>
              <w:rPr>
                <w:color w:val="auto"/>
                <w:szCs w:val="24"/>
                <w:highlight w:val="none"/>
              </w:rPr>
              <w:t>、经济专家</w:t>
            </w:r>
            <w:r>
              <w:rPr>
                <w:rFonts w:hint="eastAsia"/>
                <w:color w:val="auto"/>
                <w:szCs w:val="24"/>
                <w:highlight w:val="none"/>
              </w:rPr>
              <w:t>：</w:t>
            </w:r>
            <w:r>
              <w:rPr>
                <w:rFonts w:hint="eastAsia"/>
                <w:color w:val="auto"/>
                <w:szCs w:val="24"/>
                <w:highlight w:val="none"/>
                <w:u w:val="single"/>
                <w:lang w:val="en-US" w:eastAsia="zh-CN"/>
              </w:rPr>
              <w:t>5</w:t>
            </w:r>
            <w:r>
              <w:rPr>
                <w:rFonts w:hint="eastAsia"/>
                <w:color w:val="auto"/>
                <w:szCs w:val="24"/>
                <w:highlight w:val="none"/>
              </w:rPr>
              <w:t>人。</w:t>
            </w:r>
            <w:r>
              <w:rPr>
                <w:rFonts w:hint="eastAsia"/>
                <w:color w:val="auto"/>
                <w:highlight w:val="none"/>
              </w:rPr>
              <w:t>由招标人代表</w:t>
            </w:r>
            <w:r>
              <w:rPr>
                <w:rFonts w:hint="eastAsia"/>
                <w:color w:val="auto"/>
                <w:highlight w:val="none"/>
                <w:lang w:eastAsia="zh-CN"/>
              </w:rPr>
              <w:t>于</w:t>
            </w:r>
            <w:r>
              <w:rPr>
                <w:rFonts w:hint="eastAsia"/>
                <w:color w:val="auto"/>
                <w:highlight w:val="none"/>
              </w:rPr>
              <w:t>开标当天或评审前一天，</w:t>
            </w:r>
            <w:r>
              <w:rPr>
                <w:color w:val="auto"/>
                <w:highlight w:val="none"/>
              </w:rPr>
              <w:t>在</w:t>
            </w:r>
            <w:r>
              <w:rPr>
                <w:rFonts w:hint="eastAsia"/>
                <w:color w:val="auto"/>
                <w:highlight w:val="none"/>
              </w:rPr>
              <w:t>哈尔滨产权交易所有限责任公司</w:t>
            </w:r>
            <w:r>
              <w:rPr>
                <w:rFonts w:hint="eastAsia"/>
                <w:color w:val="auto"/>
                <w:highlight w:val="none"/>
                <w:u w:val="single"/>
              </w:rPr>
              <w:t>阳光</w:t>
            </w:r>
            <w:r>
              <w:rPr>
                <w:rFonts w:hint="eastAsia"/>
                <w:color w:val="auto"/>
                <w:highlight w:val="none"/>
                <w:u w:val="single"/>
                <w:lang w:eastAsia="zh-CN"/>
              </w:rPr>
              <w:t>招标</w:t>
            </w:r>
            <w:r>
              <w:rPr>
                <w:rFonts w:hint="eastAsia"/>
                <w:color w:val="auto"/>
                <w:highlight w:val="none"/>
                <w:u w:val="single"/>
              </w:rPr>
              <w:t>服务平台评标评审专家库</w:t>
            </w:r>
            <w:r>
              <w:rPr>
                <w:rFonts w:hint="eastAsia"/>
                <w:color w:val="auto"/>
                <w:highlight w:val="none"/>
              </w:rPr>
              <w:t>中随机抽取确定。</w:t>
            </w:r>
          </w:p>
        </w:tc>
      </w:tr>
      <w:tr w14:paraId="21ADC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36C98008">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7.1</w:t>
            </w:r>
          </w:p>
        </w:tc>
        <w:tc>
          <w:tcPr>
            <w:tcW w:w="1829" w:type="dxa"/>
            <w:tcBorders>
              <w:top w:val="single" w:color="auto" w:sz="4" w:space="0"/>
              <w:left w:val="single" w:color="auto" w:sz="4" w:space="0"/>
              <w:bottom w:val="single" w:color="auto" w:sz="4" w:space="0"/>
              <w:right w:val="single" w:color="auto" w:sz="4" w:space="0"/>
            </w:tcBorders>
            <w:vAlign w:val="center"/>
          </w:tcPr>
          <w:p w14:paraId="216B470E">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评标委员会推荐中标候选人的人数</w:t>
            </w:r>
          </w:p>
        </w:tc>
        <w:tc>
          <w:tcPr>
            <w:tcW w:w="6289" w:type="dxa"/>
            <w:tcBorders>
              <w:top w:val="single" w:color="auto" w:sz="4" w:space="0"/>
              <w:left w:val="single" w:color="auto" w:sz="4" w:space="0"/>
              <w:bottom w:val="single" w:color="auto" w:sz="4" w:space="0"/>
              <w:right w:val="single" w:color="auto" w:sz="4" w:space="0"/>
            </w:tcBorders>
            <w:vAlign w:val="center"/>
          </w:tcPr>
          <w:p w14:paraId="39D70086">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推荐的中标候选人数：</w:t>
            </w:r>
            <w:r>
              <w:rPr>
                <w:rFonts w:hint="eastAsia" w:asciiTheme="minorEastAsia" w:hAnsiTheme="minorEastAsia" w:eastAsiaTheme="minorEastAsia"/>
                <w:color w:val="auto"/>
                <w:szCs w:val="21"/>
                <w:highlight w:val="none"/>
                <w:lang w:val="en-US" w:eastAsia="zh-CN"/>
              </w:rPr>
              <w:t>不超过</w:t>
            </w:r>
            <w:r>
              <w:rPr>
                <w:rFonts w:hint="eastAsia" w:asciiTheme="minorEastAsia" w:hAnsiTheme="minorEastAsia" w:eastAsiaTheme="minorEastAsia"/>
                <w:color w:val="auto"/>
                <w:szCs w:val="21"/>
                <w:highlight w:val="none"/>
                <w:u w:val="single"/>
              </w:rPr>
              <w:t>3</w:t>
            </w:r>
            <w:r>
              <w:rPr>
                <w:rFonts w:hint="eastAsia" w:asciiTheme="minorEastAsia" w:hAnsiTheme="minorEastAsia" w:eastAsiaTheme="minorEastAsia"/>
                <w:color w:val="auto"/>
                <w:szCs w:val="21"/>
                <w:highlight w:val="none"/>
              </w:rPr>
              <w:t>个。</w:t>
            </w:r>
          </w:p>
        </w:tc>
      </w:tr>
      <w:tr w14:paraId="3D9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2D718DF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7.2</w:t>
            </w:r>
          </w:p>
        </w:tc>
        <w:tc>
          <w:tcPr>
            <w:tcW w:w="1829" w:type="dxa"/>
            <w:tcBorders>
              <w:top w:val="single" w:color="auto" w:sz="4" w:space="0"/>
              <w:left w:val="single" w:color="auto" w:sz="4" w:space="0"/>
              <w:bottom w:val="single" w:color="auto" w:sz="4" w:space="0"/>
              <w:right w:val="single" w:color="auto" w:sz="4" w:space="0"/>
            </w:tcBorders>
            <w:vAlign w:val="center"/>
          </w:tcPr>
          <w:p w14:paraId="7A91552D">
            <w:pPr>
              <w:adjustRightInd w:val="0"/>
              <w:snapToGrid w:val="0"/>
              <w:spacing w:line="430" w:lineRule="exact"/>
              <w:jc w:val="center"/>
              <w:rPr>
                <w:rFonts w:asciiTheme="minorEastAsia" w:hAnsiTheme="minorEastAsia" w:eastAsiaTheme="minorEastAsia"/>
                <w:color w:val="auto"/>
                <w:spacing w:val="-2"/>
                <w:szCs w:val="21"/>
                <w:highlight w:val="none"/>
              </w:rPr>
            </w:pPr>
            <w:r>
              <w:rPr>
                <w:rFonts w:hint="eastAsia" w:asciiTheme="minorEastAsia" w:hAnsiTheme="minorEastAsia" w:eastAsiaTheme="minorEastAsia"/>
                <w:color w:val="auto"/>
                <w:spacing w:val="-2"/>
                <w:szCs w:val="21"/>
                <w:highlight w:val="none"/>
              </w:rPr>
              <w:t>中标候选人公示媒介及期限</w:t>
            </w:r>
          </w:p>
        </w:tc>
        <w:tc>
          <w:tcPr>
            <w:tcW w:w="6289" w:type="dxa"/>
            <w:tcBorders>
              <w:top w:val="single" w:color="auto" w:sz="4" w:space="0"/>
              <w:left w:val="single" w:color="auto" w:sz="4" w:space="0"/>
              <w:bottom w:val="single" w:color="auto" w:sz="4" w:space="0"/>
              <w:right w:val="single" w:color="auto" w:sz="4" w:space="0"/>
            </w:tcBorders>
            <w:vAlign w:val="center"/>
          </w:tcPr>
          <w:p w14:paraId="494D3398">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公示媒介：同招标公告发布媒介</w:t>
            </w:r>
          </w:p>
          <w:p w14:paraId="5B92151F">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公示期限：公</w:t>
            </w:r>
            <w:r>
              <w:rPr>
                <w:rFonts w:hint="eastAsia" w:asciiTheme="minorEastAsia" w:hAnsiTheme="minorEastAsia" w:eastAsiaTheme="minorEastAsia"/>
                <w:color w:val="auto"/>
                <w:szCs w:val="21"/>
                <w:highlight w:val="none"/>
                <w:lang w:eastAsia="zh-CN"/>
              </w:rPr>
              <w:t>示</w:t>
            </w:r>
            <w:r>
              <w:rPr>
                <w:rFonts w:hint="eastAsia" w:asciiTheme="minorEastAsia" w:hAnsiTheme="minorEastAsia" w:eastAsiaTheme="minorEastAsia"/>
                <w:color w:val="auto"/>
                <w:szCs w:val="21"/>
                <w:highlight w:val="none"/>
              </w:rPr>
              <w:t>期不少于3日</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含发布当日，遇节假日不顺延</w:t>
            </w:r>
            <w:r>
              <w:rPr>
                <w:rFonts w:hint="eastAsia" w:asciiTheme="minorEastAsia" w:hAnsiTheme="minorEastAsia" w:eastAsiaTheme="minorEastAsia"/>
                <w:color w:val="auto"/>
                <w:szCs w:val="21"/>
                <w:highlight w:val="none"/>
                <w:lang w:eastAsia="zh-CN"/>
              </w:rPr>
              <w:t>）</w:t>
            </w:r>
          </w:p>
        </w:tc>
      </w:tr>
      <w:tr w14:paraId="57D81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6BD6097B">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7.4</w:t>
            </w:r>
          </w:p>
        </w:tc>
        <w:tc>
          <w:tcPr>
            <w:tcW w:w="1829" w:type="dxa"/>
            <w:tcBorders>
              <w:top w:val="single" w:color="auto" w:sz="4" w:space="0"/>
              <w:left w:val="single" w:color="auto" w:sz="4" w:space="0"/>
              <w:bottom w:val="single" w:color="auto" w:sz="4" w:space="0"/>
              <w:right w:val="single" w:color="auto" w:sz="4" w:space="0"/>
            </w:tcBorders>
            <w:vAlign w:val="center"/>
          </w:tcPr>
          <w:p w14:paraId="7798226B">
            <w:pPr>
              <w:adjustRightInd w:val="0"/>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是否授权评标委员会确定中标人</w:t>
            </w:r>
          </w:p>
        </w:tc>
        <w:tc>
          <w:tcPr>
            <w:tcW w:w="6289" w:type="dxa"/>
            <w:tcBorders>
              <w:top w:val="single" w:color="auto" w:sz="4" w:space="0"/>
              <w:left w:val="single" w:color="auto" w:sz="4" w:space="0"/>
              <w:bottom w:val="single" w:color="auto" w:sz="4" w:space="0"/>
              <w:right w:val="single" w:color="auto" w:sz="4" w:space="0"/>
            </w:tcBorders>
            <w:vAlign w:val="center"/>
          </w:tcPr>
          <w:p w14:paraId="097941B7">
            <w:pPr>
              <w:adjustRightInd w:val="0"/>
              <w:snapToGrid w:val="0"/>
              <w:spacing w:line="430" w:lineRule="exact"/>
              <w:ind w:left="409" w:leftChars="100" w:hanging="199" w:hangingChars="9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b/>
                <w:color w:val="auto"/>
                <w:szCs w:val="21"/>
                <w:highlight w:val="none"/>
              </w:rPr>
              <w:t>是</w:t>
            </w:r>
          </w:p>
          <w:p w14:paraId="61AEAFC9">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预中标结果公示三天。如无异议、或异议答复后无投诉、或投诉处理后没有复议及诉讼的，排名</w:t>
            </w:r>
            <w:r>
              <w:rPr>
                <w:rFonts w:hint="eastAsia" w:asciiTheme="minorEastAsia" w:hAnsiTheme="minorEastAsia" w:eastAsiaTheme="minorEastAsia"/>
                <w:color w:val="auto"/>
                <w:szCs w:val="21"/>
                <w:highlight w:val="none"/>
                <w:lang w:val="en-US" w:eastAsia="zh-CN"/>
              </w:rPr>
              <w:t>第一</w:t>
            </w:r>
            <w:r>
              <w:rPr>
                <w:rFonts w:hint="eastAsia" w:asciiTheme="minorEastAsia" w:hAnsiTheme="minorEastAsia" w:eastAsiaTheme="minorEastAsia"/>
                <w:color w:val="auto"/>
                <w:szCs w:val="21"/>
                <w:highlight w:val="none"/>
              </w:rPr>
              <w:t>的预中标人即为中标人。</w:t>
            </w:r>
          </w:p>
          <w:p w14:paraId="55093C3E">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shd w:val="clear" w:color="auto" w:fill="FFFFFF"/>
              </w:rPr>
              <w:t>□否</w:t>
            </w:r>
          </w:p>
        </w:tc>
      </w:tr>
      <w:tr w14:paraId="03467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443AF32C">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7.4.1</w:t>
            </w:r>
          </w:p>
        </w:tc>
        <w:tc>
          <w:tcPr>
            <w:tcW w:w="1829" w:type="dxa"/>
            <w:tcBorders>
              <w:top w:val="single" w:color="auto" w:sz="4" w:space="0"/>
              <w:left w:val="single" w:color="auto" w:sz="4" w:space="0"/>
              <w:bottom w:val="single" w:color="auto" w:sz="4" w:space="0"/>
              <w:right w:val="single" w:color="auto" w:sz="4" w:space="0"/>
            </w:tcBorders>
            <w:vAlign w:val="center"/>
          </w:tcPr>
          <w:p w14:paraId="1764D7B1">
            <w:pPr>
              <w:adjustRightInd w:val="0"/>
              <w:snapToGrid w:val="0"/>
              <w:spacing w:line="430" w:lineRule="exact"/>
              <w:jc w:val="center"/>
              <w:rPr>
                <w:rFonts w:asciiTheme="minorEastAsia" w:hAnsiTheme="minorEastAsia" w:eastAsiaTheme="minorEastAsia"/>
                <w:color w:val="auto"/>
                <w:szCs w:val="21"/>
                <w:highlight w:val="none"/>
              </w:rPr>
            </w:pPr>
            <w:r>
              <w:rPr>
                <w:rFonts w:hint="eastAsia"/>
                <w:color w:val="auto"/>
                <w:szCs w:val="21"/>
                <w:highlight w:val="none"/>
              </w:rPr>
              <w:t>确定中标人的方式</w:t>
            </w:r>
          </w:p>
        </w:tc>
        <w:tc>
          <w:tcPr>
            <w:tcW w:w="6289" w:type="dxa"/>
            <w:tcBorders>
              <w:top w:val="single" w:color="auto" w:sz="4" w:space="0"/>
              <w:left w:val="single" w:color="auto" w:sz="4" w:space="0"/>
              <w:bottom w:val="single" w:color="auto" w:sz="4" w:space="0"/>
              <w:right w:val="single" w:color="auto" w:sz="4" w:space="0"/>
            </w:tcBorders>
            <w:vAlign w:val="center"/>
          </w:tcPr>
          <w:p w14:paraId="27ECF3E0">
            <w:pPr>
              <w:widowControl/>
              <w:adjustRightInd w:val="0"/>
              <w:snapToGrid w:val="0"/>
              <w:spacing w:line="430" w:lineRule="exact"/>
              <w:ind w:firstLine="210" w:firstLineChars="100"/>
              <w:jc w:val="left"/>
              <w:rPr>
                <w:rFonts w:hint="eastAsia"/>
                <w:color w:val="auto"/>
                <w:highlight w:val="none"/>
              </w:rPr>
            </w:pPr>
            <w:r>
              <w:rPr>
                <w:rFonts w:hint="eastAsia"/>
                <w:color w:val="auto"/>
                <w:highlight w:val="none"/>
              </w:rPr>
              <w:t>1、招标人或评标委员会将确定排名</w:t>
            </w:r>
            <w:r>
              <w:rPr>
                <w:rFonts w:hint="eastAsia"/>
                <w:color w:val="auto"/>
                <w:highlight w:val="none"/>
                <w:lang w:val="en-US" w:eastAsia="zh-CN"/>
              </w:rPr>
              <w:t>第一</w:t>
            </w:r>
            <w:r>
              <w:rPr>
                <w:rFonts w:hint="eastAsia"/>
                <w:color w:val="auto"/>
                <w:highlight w:val="none"/>
              </w:rPr>
              <w:t>的中标候选人为中标人。排名</w:t>
            </w:r>
            <w:r>
              <w:rPr>
                <w:rFonts w:hint="eastAsia"/>
                <w:color w:val="auto"/>
                <w:highlight w:val="none"/>
                <w:lang w:val="en-US" w:eastAsia="zh-CN"/>
              </w:rPr>
              <w:t>第一</w:t>
            </w:r>
            <w:r>
              <w:rPr>
                <w:rFonts w:hint="eastAsia"/>
                <w:color w:val="auto"/>
                <w:highlight w:val="none"/>
              </w:rPr>
              <w:t>的中标候选人放弃中标、因不可抗力不能履行合同、不按照招标文件要求提交履约保证金，或者被查实存在影响中标结果的违法行为等情形，不符合中标条件的，招标人有权废除原中标人；已签订合同的，原合同中违约的一方视为自动放弃应享有的各项权利。</w:t>
            </w:r>
          </w:p>
          <w:p w14:paraId="5FD723F2">
            <w:pPr>
              <w:adjustRightInd w:val="0"/>
              <w:snapToGrid w:val="0"/>
              <w:spacing w:line="430" w:lineRule="exact"/>
              <w:ind w:firstLine="210" w:firstLineChars="100"/>
              <w:rPr>
                <w:rFonts w:hint="eastAsia"/>
                <w:color w:val="auto"/>
                <w:highlight w:val="none"/>
              </w:rPr>
            </w:pPr>
            <w:r>
              <w:rPr>
                <w:rFonts w:hint="eastAsia"/>
                <w:color w:val="auto"/>
                <w:highlight w:val="none"/>
              </w:rPr>
              <w:t>2、废除原中标人后，本次招标按以下选择重新确定中标人：</w:t>
            </w:r>
          </w:p>
          <w:p w14:paraId="04117A5B">
            <w:pPr>
              <w:adjustRightInd w:val="0"/>
              <w:snapToGrid w:val="0"/>
              <w:spacing w:line="430" w:lineRule="exact"/>
              <w:ind w:firstLine="210" w:firstLineChars="100"/>
              <w:rPr>
                <w:rFonts w:asciiTheme="minorEastAsia" w:hAnsiTheme="minorEastAsia" w:eastAsiaTheme="minorEastAsia"/>
                <w:color w:val="auto"/>
                <w:szCs w:val="21"/>
                <w:highlight w:val="none"/>
                <w:shd w:val="clear" w:color="auto" w:fill="FFFFFF"/>
              </w:rPr>
            </w:pPr>
            <w:r>
              <w:rPr>
                <w:rFonts w:hint="eastAsia"/>
                <w:color w:val="auto"/>
                <w:highlight w:val="none"/>
                <w:lang w:val="en-US" w:eastAsia="zh-CN"/>
              </w:rPr>
              <w:t>由招标人自行决定</w:t>
            </w:r>
            <w:r>
              <w:rPr>
                <w:rFonts w:hint="eastAsia"/>
                <w:color w:val="auto"/>
                <w:highlight w:val="none"/>
              </w:rPr>
              <w:t>。</w:t>
            </w:r>
          </w:p>
        </w:tc>
      </w:tr>
      <w:tr w14:paraId="7BE45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3B29A54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7.6</w:t>
            </w:r>
          </w:p>
        </w:tc>
        <w:tc>
          <w:tcPr>
            <w:tcW w:w="1829" w:type="dxa"/>
            <w:tcBorders>
              <w:top w:val="single" w:color="auto" w:sz="4" w:space="0"/>
              <w:left w:val="single" w:color="auto" w:sz="4" w:space="0"/>
              <w:bottom w:val="single" w:color="auto" w:sz="4" w:space="0"/>
              <w:right w:val="single" w:color="auto" w:sz="4" w:space="0"/>
            </w:tcBorders>
            <w:vAlign w:val="center"/>
          </w:tcPr>
          <w:p w14:paraId="2A7D7C3D">
            <w:pPr>
              <w:adjustRightInd w:val="0"/>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技术成果经济补偿</w:t>
            </w:r>
          </w:p>
        </w:tc>
        <w:tc>
          <w:tcPr>
            <w:tcW w:w="6289" w:type="dxa"/>
            <w:tcBorders>
              <w:top w:val="single" w:color="auto" w:sz="4" w:space="0"/>
              <w:left w:val="single" w:color="auto" w:sz="4" w:space="0"/>
              <w:bottom w:val="single" w:color="auto" w:sz="4" w:space="0"/>
              <w:right w:val="single" w:color="auto" w:sz="4" w:space="0"/>
            </w:tcBorders>
            <w:vAlign w:val="center"/>
          </w:tcPr>
          <w:p w14:paraId="06849137">
            <w:pPr>
              <w:adjustRightInd w:val="0"/>
              <w:snapToGrid w:val="0"/>
              <w:spacing w:line="430" w:lineRule="exact"/>
              <w:ind w:left="409" w:leftChars="100" w:hanging="199" w:hangingChars="9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b/>
                <w:color w:val="auto"/>
                <w:szCs w:val="21"/>
                <w:highlight w:val="none"/>
              </w:rPr>
              <w:t>不补偿</w:t>
            </w:r>
          </w:p>
          <w:p w14:paraId="10BCD024">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color w:val="auto"/>
                <w:szCs w:val="21"/>
                <w:highlight w:val="none"/>
                <w:shd w:val="clear" w:color="auto" w:fill="FFFFFF"/>
              </w:rPr>
              <w:t>补偿，</w:t>
            </w:r>
            <w:r>
              <w:rPr>
                <w:rFonts w:asciiTheme="minorEastAsia" w:hAnsiTheme="minorEastAsia" w:eastAsiaTheme="minorEastAsia"/>
                <w:color w:val="auto"/>
                <w:szCs w:val="21"/>
                <w:highlight w:val="none"/>
                <w:shd w:val="clear" w:color="auto" w:fill="FFFFFF"/>
              </w:rPr>
              <w:t>补偿标准：无</w:t>
            </w:r>
          </w:p>
        </w:tc>
      </w:tr>
      <w:tr w14:paraId="0C944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470CADD2">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7.7.1</w:t>
            </w:r>
          </w:p>
        </w:tc>
        <w:tc>
          <w:tcPr>
            <w:tcW w:w="1829" w:type="dxa"/>
            <w:tcBorders>
              <w:top w:val="single" w:color="auto" w:sz="4" w:space="0"/>
              <w:left w:val="single" w:color="auto" w:sz="4" w:space="0"/>
              <w:bottom w:val="single" w:color="auto" w:sz="4" w:space="0"/>
              <w:right w:val="single" w:color="auto" w:sz="4" w:space="0"/>
            </w:tcBorders>
            <w:vAlign w:val="center"/>
          </w:tcPr>
          <w:p w14:paraId="28E2F127">
            <w:pPr>
              <w:spacing w:line="440" w:lineRule="exact"/>
              <w:jc w:val="both"/>
              <w:rPr>
                <w:rFonts w:asciiTheme="minorEastAsia" w:hAnsiTheme="minorEastAsia" w:eastAsiaTheme="minorEastAsia"/>
                <w:color w:val="auto"/>
                <w:szCs w:val="21"/>
                <w:highlight w:val="none"/>
              </w:rPr>
            </w:pPr>
            <w:r>
              <w:rPr>
                <w:rFonts w:hint="eastAsia" w:ascii="宋体" w:hAnsi="宋体" w:cs="宋体"/>
                <w:color w:val="auto"/>
                <w:highlight w:val="none"/>
              </w:rPr>
              <w:t>履约保证金</w:t>
            </w:r>
          </w:p>
        </w:tc>
        <w:tc>
          <w:tcPr>
            <w:tcW w:w="6289" w:type="dxa"/>
            <w:tcBorders>
              <w:top w:val="single" w:color="auto" w:sz="4" w:space="0"/>
              <w:left w:val="single" w:color="auto" w:sz="4" w:space="0"/>
              <w:bottom w:val="single" w:color="auto" w:sz="4" w:space="0"/>
              <w:right w:val="single" w:color="auto" w:sz="4" w:space="0"/>
            </w:tcBorders>
            <w:vAlign w:val="center"/>
          </w:tcPr>
          <w:p w14:paraId="7232FDE8">
            <w:pPr>
              <w:adjustRightInd w:val="0"/>
              <w:snapToGrid w:val="0"/>
              <w:spacing w:line="430" w:lineRule="exact"/>
              <w:ind w:firstLine="210" w:firstLineChars="100"/>
              <w:rPr>
                <w:rFonts w:hint="default" w:asciiTheme="minorEastAsia" w:hAnsiTheme="minorEastAsia" w:eastAsiaTheme="minorEastAsia"/>
                <w:b/>
                <w:color w:val="auto"/>
                <w:szCs w:val="21"/>
                <w:highlight w:val="none"/>
                <w:lang w:val="en-US" w:eastAsia="zh-CN"/>
              </w:rPr>
            </w:pPr>
            <w:r>
              <w:rPr>
                <w:rFonts w:hint="eastAsia"/>
                <w:color w:val="auto"/>
                <w:highlight w:val="none"/>
                <w:lang w:val="en-US" w:eastAsia="zh-CN"/>
              </w:rPr>
              <w:t>不收取</w:t>
            </w:r>
          </w:p>
        </w:tc>
      </w:tr>
      <w:tr w14:paraId="7E050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79048C7D">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w:t>
            </w:r>
          </w:p>
        </w:tc>
        <w:tc>
          <w:tcPr>
            <w:tcW w:w="1829" w:type="dxa"/>
            <w:tcBorders>
              <w:top w:val="single" w:color="auto" w:sz="4" w:space="0"/>
              <w:left w:val="single" w:color="auto" w:sz="4" w:space="0"/>
              <w:bottom w:val="single" w:color="auto" w:sz="4" w:space="0"/>
              <w:right w:val="single" w:color="auto" w:sz="4" w:space="0"/>
            </w:tcBorders>
            <w:vAlign w:val="center"/>
          </w:tcPr>
          <w:p w14:paraId="25B6A39E">
            <w:pPr>
              <w:adjustRightInd w:val="0"/>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是否采用电子招标投标</w:t>
            </w:r>
          </w:p>
        </w:tc>
        <w:tc>
          <w:tcPr>
            <w:tcW w:w="6289" w:type="dxa"/>
            <w:tcBorders>
              <w:top w:val="single" w:color="auto" w:sz="4" w:space="0"/>
              <w:left w:val="single" w:color="auto" w:sz="4" w:space="0"/>
              <w:bottom w:val="single" w:color="auto" w:sz="4" w:space="0"/>
              <w:right w:val="single" w:color="auto" w:sz="4" w:space="0"/>
            </w:tcBorders>
            <w:vAlign w:val="center"/>
          </w:tcPr>
          <w:p w14:paraId="15B1B230">
            <w:pPr>
              <w:adjustRightInd w:val="0"/>
              <w:snapToGrid w:val="0"/>
              <w:spacing w:line="430" w:lineRule="exact"/>
              <w:ind w:firstLine="210" w:firstLineChars="1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shd w:val="clear" w:color="auto" w:fill="FFFFFF"/>
              </w:rPr>
              <w:t>▉</w:t>
            </w:r>
            <w:r>
              <w:rPr>
                <w:rFonts w:hint="eastAsia" w:asciiTheme="minorEastAsia" w:hAnsiTheme="minorEastAsia" w:eastAsiaTheme="minorEastAsia"/>
                <w:b/>
                <w:color w:val="auto"/>
                <w:szCs w:val="21"/>
                <w:highlight w:val="none"/>
              </w:rPr>
              <w:t>否</w:t>
            </w:r>
          </w:p>
          <w:p w14:paraId="1EF10192">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shd w:val="clear" w:color="auto" w:fill="FFFFFF"/>
              </w:rPr>
              <w:t>□是</w:t>
            </w:r>
            <w:r>
              <w:rPr>
                <w:rFonts w:hint="eastAsia" w:asciiTheme="minorEastAsia" w:hAnsiTheme="minorEastAsia" w:eastAsiaTheme="minorEastAsia"/>
                <w:color w:val="auto"/>
                <w:szCs w:val="21"/>
                <w:highlight w:val="none"/>
              </w:rPr>
              <w:t>，具体要求：无</w:t>
            </w:r>
          </w:p>
        </w:tc>
      </w:tr>
      <w:tr w14:paraId="16673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087" w:type="dxa"/>
            <w:gridSpan w:val="3"/>
            <w:tcBorders>
              <w:top w:val="single" w:color="auto" w:sz="4" w:space="0"/>
              <w:left w:val="single" w:color="auto" w:sz="4" w:space="0"/>
              <w:bottom w:val="single" w:color="auto" w:sz="4" w:space="0"/>
              <w:right w:val="single" w:color="auto" w:sz="4" w:space="0"/>
            </w:tcBorders>
            <w:vAlign w:val="center"/>
          </w:tcPr>
          <w:p w14:paraId="2DCBC6F2">
            <w:pPr>
              <w:adjustRightInd w:val="0"/>
              <w:snapToGrid w:val="0"/>
              <w:spacing w:line="43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10.  </w:t>
            </w:r>
            <w:r>
              <w:rPr>
                <w:rFonts w:hint="eastAsia" w:asciiTheme="minorEastAsia" w:hAnsiTheme="minorEastAsia" w:eastAsiaTheme="minorEastAsia"/>
                <w:color w:val="auto"/>
                <w:szCs w:val="21"/>
                <w:highlight w:val="none"/>
              </w:rPr>
              <w:t>需要补充的其他内容</w:t>
            </w:r>
          </w:p>
        </w:tc>
      </w:tr>
      <w:tr w14:paraId="675DD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6D2FFD87">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1</w:t>
            </w:r>
          </w:p>
        </w:tc>
        <w:tc>
          <w:tcPr>
            <w:tcW w:w="1829" w:type="dxa"/>
            <w:tcBorders>
              <w:top w:val="single" w:color="auto" w:sz="4" w:space="0"/>
              <w:left w:val="single" w:color="auto" w:sz="4" w:space="0"/>
              <w:bottom w:val="single" w:color="auto" w:sz="4" w:space="0"/>
              <w:right w:val="single" w:color="auto" w:sz="4" w:space="0"/>
            </w:tcBorders>
            <w:vAlign w:val="center"/>
          </w:tcPr>
          <w:p w14:paraId="31B0F7C4">
            <w:pPr>
              <w:adjustRightInd w:val="0"/>
              <w:snapToGrid w:val="0"/>
              <w:spacing w:line="43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技术服务需求承诺</w:t>
            </w:r>
          </w:p>
        </w:tc>
        <w:tc>
          <w:tcPr>
            <w:tcW w:w="6289" w:type="dxa"/>
            <w:tcBorders>
              <w:top w:val="single" w:color="auto" w:sz="4" w:space="0"/>
              <w:left w:val="single" w:color="auto" w:sz="4" w:space="0"/>
              <w:bottom w:val="single" w:color="auto" w:sz="4" w:space="0"/>
              <w:right w:val="single" w:color="auto" w:sz="4" w:space="0"/>
            </w:tcBorders>
            <w:vAlign w:val="center"/>
          </w:tcPr>
          <w:p w14:paraId="63C1CAAF">
            <w:pPr>
              <w:adjustRightInd w:val="0"/>
              <w:snapToGrid w:val="0"/>
              <w:spacing w:line="430" w:lineRule="exact"/>
              <w:ind w:firstLine="210" w:firstLineChars="100"/>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投标人需</w:t>
            </w:r>
            <w:r>
              <w:rPr>
                <w:rFonts w:hint="eastAsia" w:asciiTheme="minorEastAsia" w:hAnsiTheme="minorEastAsia" w:eastAsiaTheme="minorEastAsia"/>
                <w:color w:val="auto"/>
                <w:szCs w:val="21"/>
                <w:highlight w:val="none"/>
              </w:rPr>
              <w:t>对招标文件中“第五章 招标需求：附件</w:t>
            </w:r>
            <w:r>
              <w:rPr>
                <w:rFonts w:hint="eastAsia" w:asciiTheme="minorEastAsia" w:hAnsiTheme="minorEastAsia" w:eastAsiaTheme="minorEastAsia"/>
                <w:color w:val="auto"/>
                <w:szCs w:val="21"/>
                <w:highlight w:val="none"/>
                <w:lang w:val="en-US" w:eastAsia="zh-CN"/>
              </w:rPr>
              <w:t>中产品数量、质量要求、服务范围及质保进行承诺，并提供承诺书（格式自拟）。</w:t>
            </w:r>
          </w:p>
        </w:tc>
      </w:tr>
      <w:tr w14:paraId="4734A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0A357EE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2</w:t>
            </w:r>
          </w:p>
        </w:tc>
        <w:tc>
          <w:tcPr>
            <w:tcW w:w="1829" w:type="dxa"/>
            <w:tcBorders>
              <w:top w:val="single" w:color="auto" w:sz="4" w:space="0"/>
              <w:left w:val="single" w:color="auto" w:sz="4" w:space="0"/>
              <w:bottom w:val="single" w:color="auto" w:sz="4" w:space="0"/>
              <w:right w:val="single" w:color="auto" w:sz="4" w:space="0"/>
            </w:tcBorders>
            <w:vAlign w:val="center"/>
          </w:tcPr>
          <w:p w14:paraId="2AF785C0">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知识产权</w:t>
            </w:r>
          </w:p>
        </w:tc>
        <w:tc>
          <w:tcPr>
            <w:tcW w:w="6289" w:type="dxa"/>
            <w:tcBorders>
              <w:top w:val="single" w:color="auto" w:sz="4" w:space="0"/>
              <w:left w:val="single" w:color="auto" w:sz="4" w:space="0"/>
              <w:bottom w:val="single" w:color="auto" w:sz="4" w:space="0"/>
              <w:right w:val="single" w:color="auto" w:sz="4" w:space="0"/>
            </w:tcBorders>
            <w:vAlign w:val="center"/>
          </w:tcPr>
          <w:p w14:paraId="071F4EB7">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、构成本招标文件各个组成部分的文件，未经招标人书面同意，投标人不得擅自复印和用于非本招标项目所需的其他目的；</w:t>
            </w:r>
          </w:p>
          <w:p w14:paraId="51BA96E4">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、招标人全部或者部分使用未中标人投标文件中的技术成果或技术方案时，需征得其书面同意，并不得擅自复印或提供给第三人。</w:t>
            </w:r>
          </w:p>
        </w:tc>
      </w:tr>
      <w:tr w14:paraId="5D846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50BF4AB0">
            <w:pPr>
              <w:spacing w:line="430" w:lineRule="exact"/>
              <w:jc w:val="center"/>
              <w:rPr>
                <w:rFonts w:asciiTheme="minorEastAsia" w:hAnsiTheme="minorEastAsia"/>
                <w:color w:val="auto"/>
                <w:szCs w:val="21"/>
                <w:highlight w:val="none"/>
              </w:rPr>
            </w:pPr>
            <w:r>
              <w:rPr>
                <w:rFonts w:hint="eastAsia" w:ascii="宋体" w:hAnsi="宋体" w:cs="宋体"/>
                <w:color w:val="auto"/>
                <w:szCs w:val="21"/>
                <w:highlight w:val="none"/>
              </w:rPr>
              <w:t>10.3</w:t>
            </w:r>
          </w:p>
        </w:tc>
        <w:tc>
          <w:tcPr>
            <w:tcW w:w="1829" w:type="dxa"/>
            <w:tcBorders>
              <w:top w:val="single" w:color="auto" w:sz="4" w:space="0"/>
              <w:left w:val="single" w:color="auto" w:sz="4" w:space="0"/>
              <w:bottom w:val="single" w:color="auto" w:sz="4" w:space="0"/>
              <w:right w:val="single" w:color="auto" w:sz="4" w:space="0"/>
            </w:tcBorders>
            <w:vAlign w:val="center"/>
          </w:tcPr>
          <w:p w14:paraId="3B732772">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宋体" w:hAnsi="宋体" w:cs="宋体"/>
                <w:color w:val="auto"/>
                <w:szCs w:val="21"/>
                <w:highlight w:val="none"/>
              </w:rPr>
              <w:t>重新评标</w:t>
            </w:r>
          </w:p>
        </w:tc>
        <w:tc>
          <w:tcPr>
            <w:tcW w:w="6289" w:type="dxa"/>
            <w:tcBorders>
              <w:top w:val="single" w:color="auto" w:sz="4" w:space="0"/>
              <w:left w:val="single" w:color="auto" w:sz="4" w:space="0"/>
              <w:bottom w:val="single" w:color="auto" w:sz="4" w:space="0"/>
              <w:right w:val="single" w:color="auto" w:sz="4" w:space="0"/>
            </w:tcBorders>
            <w:vAlign w:val="center"/>
          </w:tcPr>
          <w:p w14:paraId="7D9D196A">
            <w:pPr>
              <w:spacing w:line="43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对中标结果造成实质性影响，但能采取补救措施予以纠正且存在下列情形之一的，招标人将组织重新评标：</w:t>
            </w:r>
          </w:p>
          <w:p w14:paraId="06E793FD">
            <w:pPr>
              <w:spacing w:line="430" w:lineRule="exact"/>
              <w:rPr>
                <w:rFonts w:ascii="宋体" w:hAnsi="宋体" w:cs="宋体"/>
                <w:color w:val="auto"/>
                <w:szCs w:val="21"/>
                <w:highlight w:val="none"/>
              </w:rPr>
            </w:pPr>
            <w:r>
              <w:rPr>
                <w:rFonts w:hint="eastAsia" w:ascii="宋体" w:hAnsi="宋体" w:cs="宋体"/>
                <w:color w:val="auto"/>
                <w:szCs w:val="21"/>
                <w:highlight w:val="none"/>
              </w:rPr>
              <w:t>（1）评标委员会评审有误或未能按照同一标准评审的；</w:t>
            </w:r>
          </w:p>
          <w:p w14:paraId="2F689CF5">
            <w:pPr>
              <w:spacing w:line="430" w:lineRule="exact"/>
              <w:rPr>
                <w:rFonts w:ascii="宋体" w:hAnsi="宋体" w:cs="宋体"/>
                <w:color w:val="auto"/>
                <w:szCs w:val="21"/>
                <w:highlight w:val="none"/>
              </w:rPr>
            </w:pPr>
            <w:r>
              <w:rPr>
                <w:rFonts w:hint="eastAsia" w:ascii="宋体" w:hAnsi="宋体" w:cs="宋体"/>
                <w:color w:val="auto"/>
                <w:szCs w:val="21"/>
                <w:highlight w:val="none"/>
              </w:rPr>
              <w:t>（2）评标委员会的组建及人员组成不符合法定要求的；</w:t>
            </w:r>
          </w:p>
          <w:p w14:paraId="0B15CA20">
            <w:pPr>
              <w:adjustRightInd w:val="0"/>
              <w:snapToGrid w:val="0"/>
              <w:spacing w:line="430" w:lineRule="exact"/>
              <w:rPr>
                <w:rFonts w:asciiTheme="minorEastAsia" w:hAnsiTheme="minorEastAsia" w:eastAsiaTheme="minorEastAsia"/>
                <w:color w:val="auto"/>
                <w:szCs w:val="21"/>
                <w:highlight w:val="none"/>
              </w:rPr>
            </w:pPr>
            <w:r>
              <w:rPr>
                <w:rFonts w:hint="eastAsia" w:ascii="宋体" w:hAnsi="宋体" w:cs="宋体"/>
                <w:color w:val="auto"/>
                <w:szCs w:val="21"/>
                <w:highlight w:val="none"/>
              </w:rPr>
              <w:t>（3）其他法律法规规定的应予以重新评标的情形。</w:t>
            </w:r>
          </w:p>
        </w:tc>
      </w:tr>
      <w:tr w14:paraId="718A5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488D36F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4</w:t>
            </w:r>
          </w:p>
        </w:tc>
        <w:tc>
          <w:tcPr>
            <w:tcW w:w="1829" w:type="dxa"/>
            <w:tcBorders>
              <w:top w:val="single" w:color="auto" w:sz="4" w:space="0"/>
              <w:left w:val="single" w:color="auto" w:sz="4" w:space="0"/>
              <w:bottom w:val="single" w:color="auto" w:sz="4" w:space="0"/>
              <w:right w:val="single" w:color="auto" w:sz="4" w:space="0"/>
            </w:tcBorders>
            <w:vAlign w:val="center"/>
          </w:tcPr>
          <w:p w14:paraId="7CC26FBC">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宋体" w:hAnsi="宋体" w:cs="宋体"/>
                <w:color w:val="auto"/>
                <w:szCs w:val="21"/>
                <w:highlight w:val="none"/>
              </w:rPr>
              <w:t>重新招标</w:t>
            </w:r>
          </w:p>
        </w:tc>
        <w:tc>
          <w:tcPr>
            <w:tcW w:w="6289" w:type="dxa"/>
            <w:tcBorders>
              <w:top w:val="single" w:color="auto" w:sz="4" w:space="0"/>
              <w:left w:val="single" w:color="auto" w:sz="4" w:space="0"/>
              <w:bottom w:val="single" w:color="auto" w:sz="4" w:space="0"/>
              <w:right w:val="single" w:color="auto" w:sz="4" w:space="0"/>
            </w:tcBorders>
            <w:vAlign w:val="center"/>
          </w:tcPr>
          <w:p w14:paraId="555F5871">
            <w:pPr>
              <w:spacing w:line="420" w:lineRule="exact"/>
              <w:ind w:firstLine="210" w:firstLineChars="100"/>
              <w:rPr>
                <w:rFonts w:ascii="宋体" w:hAnsi="宋体"/>
                <w:color w:val="auto"/>
                <w:szCs w:val="21"/>
                <w:highlight w:val="none"/>
              </w:rPr>
            </w:pPr>
            <w:r>
              <w:rPr>
                <w:rFonts w:ascii="宋体" w:hAnsi="宋体"/>
                <w:color w:val="auto"/>
                <w:szCs w:val="21"/>
                <w:highlight w:val="none"/>
              </w:rPr>
              <w:t>有下列情形之一的，招标人将重新招标：</w:t>
            </w:r>
          </w:p>
          <w:p w14:paraId="0F9F4303">
            <w:pPr>
              <w:spacing w:line="420" w:lineRule="exact"/>
              <w:ind w:firstLine="105" w:firstLineChars="50"/>
              <w:rPr>
                <w:rFonts w:ascii="宋体" w:hAnsi="宋体"/>
                <w:color w:val="auto"/>
                <w:szCs w:val="21"/>
                <w:highlight w:val="none"/>
              </w:rPr>
            </w:pPr>
            <w:r>
              <w:rPr>
                <w:rFonts w:ascii="宋体" w:hAnsi="宋体"/>
                <w:color w:val="auto"/>
                <w:szCs w:val="21"/>
                <w:highlight w:val="none"/>
              </w:rPr>
              <w:t>（1）至投标截止时间止，投标人少于3个的；</w:t>
            </w:r>
          </w:p>
          <w:p w14:paraId="15170AE3">
            <w:pPr>
              <w:spacing w:line="420" w:lineRule="exact"/>
              <w:ind w:firstLine="105" w:firstLineChars="50"/>
              <w:rPr>
                <w:rFonts w:ascii="宋体" w:hAnsi="宋体"/>
                <w:color w:val="auto"/>
                <w:szCs w:val="21"/>
                <w:highlight w:val="none"/>
              </w:rPr>
            </w:pPr>
            <w:r>
              <w:rPr>
                <w:rFonts w:ascii="宋体" w:hAnsi="宋体"/>
                <w:color w:val="auto"/>
                <w:szCs w:val="21"/>
                <w:highlight w:val="none"/>
              </w:rPr>
              <w:t>（2）经评标委员会评审后否决所有投标的；</w:t>
            </w:r>
          </w:p>
          <w:p w14:paraId="0FB63067">
            <w:pPr>
              <w:spacing w:line="420" w:lineRule="exact"/>
              <w:ind w:firstLine="105" w:firstLineChars="50"/>
              <w:rPr>
                <w:rFonts w:ascii="宋体" w:hAnsi="宋体"/>
                <w:color w:val="auto"/>
                <w:szCs w:val="21"/>
                <w:highlight w:val="none"/>
              </w:rPr>
            </w:pPr>
            <w:r>
              <w:rPr>
                <w:rFonts w:ascii="宋体" w:hAnsi="宋体"/>
                <w:color w:val="auto"/>
                <w:szCs w:val="21"/>
                <w:highlight w:val="none"/>
              </w:rPr>
              <w:t>（3）中标人（包括按招标文件规定的选择顺序依次确定的所有中标人）均主动放弃中标，或者未按招标文件规定提交履约保证金，或者被查实存在影响中标结果的违法行为等情形，</w:t>
            </w:r>
            <w:r>
              <w:rPr>
                <w:rFonts w:hint="eastAsia" w:ascii="宋体" w:hAnsi="宋体"/>
                <w:color w:val="auto"/>
                <w:szCs w:val="21"/>
                <w:highlight w:val="none"/>
              </w:rPr>
              <w:t>均</w:t>
            </w:r>
            <w:r>
              <w:rPr>
                <w:rFonts w:ascii="宋体" w:hAnsi="宋体"/>
                <w:color w:val="auto"/>
                <w:szCs w:val="21"/>
                <w:highlight w:val="none"/>
              </w:rPr>
              <w:t>不符合中标条件的；</w:t>
            </w:r>
          </w:p>
          <w:p w14:paraId="61BFA5FC">
            <w:pPr>
              <w:spacing w:line="420" w:lineRule="exact"/>
              <w:ind w:firstLine="105" w:firstLineChars="5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排名</w:t>
            </w:r>
            <w:r>
              <w:rPr>
                <w:rFonts w:hint="eastAsia" w:ascii="宋体" w:hAnsi="宋体"/>
                <w:color w:val="auto"/>
                <w:szCs w:val="21"/>
                <w:highlight w:val="none"/>
                <w:lang w:val="en-US" w:eastAsia="zh-CN"/>
              </w:rPr>
              <w:t>第一</w:t>
            </w:r>
            <w:r>
              <w:rPr>
                <w:rFonts w:ascii="宋体" w:hAnsi="宋体"/>
                <w:color w:val="auto"/>
                <w:szCs w:val="21"/>
                <w:highlight w:val="none"/>
              </w:rPr>
              <w:t>的中标候选人放弃中标、因不可抗力不能履行合同、不按照招标文件要求提交履约保证金，或者被查实存在影响中标结果的违法行为等情形，不符合中标条件</w:t>
            </w:r>
            <w:r>
              <w:rPr>
                <w:rFonts w:hint="eastAsia" w:ascii="宋体" w:hAnsi="宋体"/>
                <w:color w:val="auto"/>
                <w:szCs w:val="21"/>
                <w:highlight w:val="none"/>
              </w:rPr>
              <w:t>且</w:t>
            </w:r>
            <w:r>
              <w:rPr>
                <w:rFonts w:ascii="宋体" w:hAnsi="宋体"/>
                <w:color w:val="auto"/>
                <w:szCs w:val="21"/>
                <w:highlight w:val="none"/>
              </w:rPr>
              <w:t>招标人</w:t>
            </w:r>
            <w:r>
              <w:rPr>
                <w:rFonts w:hint="eastAsia" w:ascii="宋体" w:hAnsi="宋体"/>
                <w:color w:val="auto"/>
                <w:szCs w:val="21"/>
                <w:highlight w:val="none"/>
                <w:lang w:val="en-US" w:eastAsia="zh-CN"/>
              </w:rPr>
              <w:t>决定</w:t>
            </w:r>
            <w:r>
              <w:rPr>
                <w:rFonts w:hint="eastAsia" w:ascii="宋体" w:hAnsi="宋体"/>
                <w:color w:val="auto"/>
                <w:szCs w:val="21"/>
                <w:highlight w:val="none"/>
              </w:rPr>
              <w:t>选择重新招标的；</w:t>
            </w:r>
          </w:p>
          <w:p w14:paraId="7BF5AB4E">
            <w:pPr>
              <w:spacing w:line="420" w:lineRule="exact"/>
              <w:ind w:firstLine="105" w:firstLineChars="5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必须进行招标的项目的招标投标活动违反招标投标法和实施条例的规定，对中标结果造成实质性影响，且不能采取补救措施予以纠正或招标被行政监督部门确认无效的；</w:t>
            </w:r>
          </w:p>
          <w:p w14:paraId="3C7D7599">
            <w:pPr>
              <w:spacing w:line="420" w:lineRule="exact"/>
              <w:ind w:firstLine="105" w:firstLineChars="50"/>
              <w:rPr>
                <w:rFonts w:ascii="宋体" w:hAnsi="宋体"/>
                <w:color w:val="auto"/>
                <w:szCs w:val="21"/>
                <w:highlight w:val="none"/>
              </w:rPr>
            </w:pPr>
            <w:r>
              <w:rPr>
                <w:rFonts w:hint="eastAsia" w:ascii="宋体" w:hAnsi="宋体"/>
                <w:color w:val="auto"/>
                <w:szCs w:val="21"/>
                <w:highlight w:val="none"/>
              </w:rPr>
              <w:t>（6）开标后，有效投标不足</w:t>
            </w:r>
            <w:r>
              <w:rPr>
                <w:rFonts w:hint="eastAsia" w:ascii="宋体" w:hAnsi="宋体"/>
                <w:color w:val="auto"/>
                <w:szCs w:val="21"/>
                <w:highlight w:val="none"/>
                <w:lang w:val="en-US" w:eastAsia="zh-CN"/>
              </w:rPr>
              <w:t>3</w:t>
            </w:r>
            <w:r>
              <w:rPr>
                <w:rFonts w:hint="eastAsia" w:ascii="宋体" w:hAnsi="宋体"/>
                <w:color w:val="auto"/>
                <w:szCs w:val="21"/>
                <w:highlight w:val="none"/>
              </w:rPr>
              <w:t>名使得投标明显缺乏竞争，且评标委员会决定否决所有投标的；</w:t>
            </w:r>
          </w:p>
          <w:p w14:paraId="3C899B63">
            <w:pPr>
              <w:spacing w:line="420" w:lineRule="exact"/>
              <w:ind w:firstLine="105" w:firstLineChars="50"/>
              <w:rPr>
                <w:rFonts w:ascii="宋体" w:hAnsi="宋体"/>
                <w:color w:val="auto"/>
                <w:szCs w:val="21"/>
                <w:highlight w:val="none"/>
              </w:rPr>
            </w:pPr>
            <w:r>
              <w:rPr>
                <w:rFonts w:hint="eastAsia" w:ascii="宋体" w:hAnsi="宋体"/>
                <w:color w:val="auto"/>
                <w:szCs w:val="21"/>
                <w:highlight w:val="none"/>
              </w:rPr>
              <w:t>（7）所有投标均被作为否决投标处理的；</w:t>
            </w:r>
          </w:p>
          <w:p w14:paraId="6F75184E">
            <w:pPr>
              <w:spacing w:line="420" w:lineRule="exact"/>
              <w:ind w:firstLine="105" w:firstLineChars="50"/>
              <w:rPr>
                <w:rFonts w:ascii="宋体" w:hAnsi="宋体"/>
                <w:color w:val="auto"/>
                <w:szCs w:val="21"/>
                <w:highlight w:val="none"/>
              </w:rPr>
            </w:pPr>
            <w:r>
              <w:rPr>
                <w:rFonts w:hint="eastAsia" w:ascii="宋体" w:hAnsi="宋体"/>
                <w:color w:val="auto"/>
                <w:szCs w:val="21"/>
                <w:highlight w:val="none"/>
              </w:rPr>
              <w:t>（8）除非已经产生中标候选人，在投标有效期内同意延长投标有效期的投标人少于3个的，招标人应当重新招标；</w:t>
            </w:r>
          </w:p>
          <w:p w14:paraId="68EDD139">
            <w:pPr>
              <w:adjustRightInd w:val="0"/>
              <w:snapToGrid w:val="0"/>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（9）其他法律法规规定的应予以重新招标的情形。</w:t>
            </w:r>
          </w:p>
        </w:tc>
      </w:tr>
      <w:tr w14:paraId="4C27E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553BB519">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5</w:t>
            </w:r>
          </w:p>
        </w:tc>
        <w:tc>
          <w:tcPr>
            <w:tcW w:w="1829" w:type="dxa"/>
            <w:tcBorders>
              <w:top w:val="single" w:color="auto" w:sz="4" w:space="0"/>
              <w:left w:val="single" w:color="auto" w:sz="4" w:space="0"/>
              <w:bottom w:val="single" w:color="auto" w:sz="4" w:space="0"/>
              <w:right w:val="single" w:color="auto" w:sz="4" w:space="0"/>
            </w:tcBorders>
            <w:vAlign w:val="center"/>
          </w:tcPr>
          <w:p w14:paraId="246C4B0A">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同义词语</w:t>
            </w:r>
          </w:p>
        </w:tc>
        <w:tc>
          <w:tcPr>
            <w:tcW w:w="6289" w:type="dxa"/>
            <w:tcBorders>
              <w:top w:val="single" w:color="auto" w:sz="4" w:space="0"/>
              <w:left w:val="single" w:color="auto" w:sz="4" w:space="0"/>
              <w:bottom w:val="single" w:color="auto" w:sz="4" w:space="0"/>
              <w:right w:val="single" w:color="auto" w:sz="4" w:space="0"/>
            </w:tcBorders>
            <w:vAlign w:val="center"/>
          </w:tcPr>
          <w:p w14:paraId="23F6ABBA">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构成招标文件组成部分的</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投标须知</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通用合同条款</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专用合同条款</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采购需求</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等章节中出现的措辞</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发包人</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和</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承包人”，在招标投标阶段应当分别按</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招标人</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和</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投标人</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进行理解。</w:t>
            </w:r>
          </w:p>
        </w:tc>
      </w:tr>
      <w:tr w14:paraId="2BA7E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5E45DF30">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6</w:t>
            </w:r>
          </w:p>
        </w:tc>
        <w:tc>
          <w:tcPr>
            <w:tcW w:w="1829" w:type="dxa"/>
            <w:tcBorders>
              <w:top w:val="single" w:color="auto" w:sz="4" w:space="0"/>
              <w:left w:val="single" w:color="auto" w:sz="4" w:space="0"/>
              <w:bottom w:val="single" w:color="auto" w:sz="4" w:space="0"/>
              <w:right w:val="single" w:color="auto" w:sz="4" w:space="0"/>
            </w:tcBorders>
            <w:vAlign w:val="center"/>
          </w:tcPr>
          <w:p w14:paraId="7CDEC5D8">
            <w:pPr>
              <w:adjustRightInd w:val="0"/>
              <w:snapToGrid w:val="0"/>
              <w:spacing w:line="43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解释权</w:t>
            </w:r>
          </w:p>
        </w:tc>
        <w:tc>
          <w:tcPr>
            <w:tcW w:w="6289" w:type="dxa"/>
            <w:tcBorders>
              <w:top w:val="single" w:color="auto" w:sz="4" w:space="0"/>
              <w:left w:val="single" w:color="auto" w:sz="4" w:space="0"/>
              <w:bottom w:val="single" w:color="auto" w:sz="4" w:space="0"/>
              <w:right w:val="single" w:color="auto" w:sz="4" w:space="0"/>
            </w:tcBorders>
            <w:vAlign w:val="center"/>
          </w:tcPr>
          <w:p w14:paraId="4B7F5B1D">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、构成本招标文件的各个组成文件应互为解释，互为说明；</w:t>
            </w:r>
          </w:p>
          <w:p w14:paraId="416882A7">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、如有不明确或不一致，构成合同文件组成内容的，以合同文件约定内容为准，且以专用合同条款约定的合同文件优先顺序解释；</w:t>
            </w:r>
          </w:p>
          <w:p w14:paraId="2FB4BC7B">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、除招标文件中有特别规定外，仅适用于招标投标阶段的规定，按招标公告（投标邀请书）、投标人须知、评标办法、投标文件格式的先后顺序解释；</w:t>
            </w:r>
          </w:p>
          <w:p w14:paraId="06B06041">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、同一组成文件中就同一事项的规定或约定不一致的以编排顺序在后者为准；</w:t>
            </w:r>
          </w:p>
          <w:p w14:paraId="6DF9FBDC">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、同一组成文件不同版本之间有不一致的，以形成时间在后者为准。</w:t>
            </w:r>
          </w:p>
          <w:p w14:paraId="097494E2">
            <w:pPr>
              <w:adjustRightInd w:val="0"/>
              <w:snapToGrid w:val="0"/>
              <w:spacing w:line="430" w:lineRule="exact"/>
              <w:ind w:firstLine="210" w:firstLineChars="1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、按本款前述规定仍不能形成结论的，由招标人负责解释。</w:t>
            </w:r>
          </w:p>
        </w:tc>
      </w:tr>
      <w:tr w14:paraId="4ED52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69" w:type="dxa"/>
            <w:tcBorders>
              <w:top w:val="single" w:color="auto" w:sz="4" w:space="0"/>
              <w:left w:val="single" w:color="auto" w:sz="4" w:space="0"/>
              <w:bottom w:val="single" w:color="auto" w:sz="4" w:space="0"/>
              <w:right w:val="single" w:color="auto" w:sz="4" w:space="0"/>
            </w:tcBorders>
            <w:vAlign w:val="center"/>
          </w:tcPr>
          <w:p w14:paraId="346A5C31">
            <w:pPr>
              <w:spacing w:line="430" w:lineRule="exact"/>
              <w:jc w:val="center"/>
              <w:rPr>
                <w:rFonts w:asciiTheme="minorEastAsia" w:hAnsiTheme="minorEastAsia"/>
                <w:color w:val="auto"/>
                <w:szCs w:val="21"/>
                <w:highlight w:val="none"/>
              </w:rPr>
            </w:pPr>
            <w:r>
              <w:rPr>
                <w:rFonts w:hint="eastAsia" w:ascii="宋体" w:hAnsi="宋体" w:cs="宋体"/>
                <w:color w:val="auto"/>
                <w:szCs w:val="21"/>
                <w:highlight w:val="none"/>
              </w:rPr>
              <w:t>10.7</w:t>
            </w:r>
          </w:p>
        </w:tc>
        <w:tc>
          <w:tcPr>
            <w:tcW w:w="1829" w:type="dxa"/>
            <w:tcBorders>
              <w:top w:val="single" w:color="auto" w:sz="4" w:space="0"/>
              <w:left w:val="single" w:color="auto" w:sz="4" w:space="0"/>
              <w:bottom w:val="single" w:color="auto" w:sz="4" w:space="0"/>
              <w:right w:val="single" w:color="auto" w:sz="4" w:space="0"/>
            </w:tcBorders>
            <w:vAlign w:val="center"/>
          </w:tcPr>
          <w:p w14:paraId="4D93DF12">
            <w:pPr>
              <w:spacing w:line="430" w:lineRule="exact"/>
              <w:jc w:val="center"/>
              <w:rPr>
                <w:rFonts w:asciiTheme="minorEastAsia" w:hAnsiTheme="minorEastAsia" w:eastAsiaTheme="minorEastAsia"/>
                <w:color w:val="auto"/>
                <w:szCs w:val="21"/>
                <w:highlight w:val="none"/>
              </w:rPr>
            </w:pPr>
            <w:r>
              <w:rPr>
                <w:rFonts w:hint="eastAsia" w:ascii="宋体" w:hAnsi="宋体" w:cs="宋体"/>
                <w:b/>
                <w:color w:val="auto"/>
                <w:kern w:val="0"/>
                <w:szCs w:val="21"/>
                <w:highlight w:val="none"/>
                <w:lang w:val="zh-CN"/>
              </w:rPr>
              <w:t>招标代理服务收费</w:t>
            </w:r>
          </w:p>
        </w:tc>
        <w:tc>
          <w:tcPr>
            <w:tcW w:w="6289" w:type="dxa"/>
            <w:tcBorders>
              <w:top w:val="single" w:color="auto" w:sz="4" w:space="0"/>
              <w:left w:val="single" w:color="auto" w:sz="4" w:space="0"/>
              <w:bottom w:val="single" w:color="auto" w:sz="4" w:space="0"/>
              <w:right w:val="single" w:color="auto" w:sz="4" w:space="0"/>
            </w:tcBorders>
            <w:vAlign w:val="center"/>
          </w:tcPr>
          <w:p w14:paraId="3B351C01">
            <w:pPr>
              <w:numPr>
                <w:ilvl w:val="0"/>
                <w:numId w:val="5"/>
              </w:numPr>
              <w:tabs>
                <w:tab w:val="left" w:pos="720"/>
                <w:tab w:val="left" w:pos="900"/>
                <w:tab w:val="left" w:pos="966"/>
                <w:tab w:val="left" w:pos="1107"/>
              </w:tabs>
              <w:adjustRightInd w:val="0"/>
              <w:snapToGrid w:val="0"/>
              <w:spacing w:line="430" w:lineRule="exact"/>
              <w:ind w:firstLine="315" w:firstLineChars="150"/>
              <w:rPr>
                <w:rFonts w:hint="eastAsia"/>
                <w:color w:val="auto"/>
                <w:highlight w:val="none"/>
                <w:lang w:val="en-US" w:eastAsia="zh-CN"/>
              </w:rPr>
            </w:pPr>
            <w:r>
              <w:rPr>
                <w:rFonts w:hint="eastAsia"/>
                <w:color w:val="auto"/>
                <w:highlight w:val="none"/>
              </w:rPr>
              <w:t>本项目招标代理服务费</w:t>
            </w:r>
            <w:r>
              <w:rPr>
                <w:rFonts w:hint="eastAsia"/>
                <w:color w:val="auto"/>
                <w:highlight w:val="none"/>
                <w:lang w:eastAsia="zh-CN"/>
              </w:rPr>
              <w:t>：</w:t>
            </w:r>
            <w:r>
              <w:rPr>
                <w:rFonts w:hint="eastAsia"/>
                <w:color w:val="auto"/>
                <w:highlight w:val="none"/>
                <w:lang w:val="en-US" w:eastAsia="zh-CN"/>
              </w:rPr>
              <w:t>4740.00元</w:t>
            </w:r>
          </w:p>
          <w:p w14:paraId="3A8F6087">
            <w:pPr>
              <w:numPr>
                <w:ilvl w:val="0"/>
                <w:numId w:val="0"/>
              </w:numPr>
              <w:tabs>
                <w:tab w:val="left" w:pos="720"/>
                <w:tab w:val="left" w:pos="900"/>
                <w:tab w:val="left" w:pos="966"/>
                <w:tab w:val="left" w:pos="1107"/>
              </w:tabs>
              <w:adjustRightInd w:val="0"/>
              <w:snapToGrid w:val="0"/>
              <w:spacing w:line="430" w:lineRule="exact"/>
              <w:ind w:firstLine="420" w:firstLineChars="200"/>
              <w:rPr>
                <w:color w:val="auto"/>
                <w:highlight w:val="none"/>
              </w:rPr>
            </w:pPr>
            <w:r>
              <w:rPr>
                <w:rFonts w:hint="eastAsia"/>
                <w:color w:val="auto"/>
                <w:highlight w:val="none"/>
              </w:rPr>
              <w:t>参照《国家计委关于印发（招标代理服务收费管理暂行办法）》（计价【2002】1980号）文件、《国家发展改革委办公厅关于招标代理服务收费有关问题的通知》（发改办价格【2003】857号）文件及《国家发展改革委关于进一步放开建设项目专业服务价格的通知》（发改价格2015 299号）文件规定的收费标准</w:t>
            </w:r>
            <w:r>
              <w:rPr>
                <w:rFonts w:hint="eastAsia"/>
                <w:color w:val="auto"/>
                <w:highlight w:val="none"/>
                <w:lang w:val="en-US" w:eastAsia="zh-CN"/>
              </w:rPr>
              <w:t>50</w:t>
            </w:r>
            <w:r>
              <w:rPr>
                <w:rFonts w:hint="eastAsia"/>
                <w:color w:val="auto"/>
                <w:highlight w:val="none"/>
              </w:rPr>
              <w:t>%收取。收取方式为向中标人收取。</w:t>
            </w:r>
          </w:p>
          <w:p w14:paraId="18A03226">
            <w:pPr>
              <w:tabs>
                <w:tab w:val="left" w:pos="720"/>
                <w:tab w:val="left" w:pos="900"/>
                <w:tab w:val="left" w:pos="966"/>
                <w:tab w:val="left" w:pos="1107"/>
              </w:tabs>
              <w:adjustRightInd w:val="0"/>
              <w:snapToGrid w:val="0"/>
              <w:spacing w:line="430" w:lineRule="exact"/>
              <w:ind w:firstLine="420" w:firstLineChars="200"/>
              <w:rPr>
                <w:color w:val="auto"/>
                <w:highlight w:val="none"/>
              </w:rPr>
            </w:pPr>
            <w:r>
              <w:rPr>
                <w:rFonts w:hint="eastAsia"/>
                <w:color w:val="auto"/>
                <w:highlight w:val="none"/>
                <w:lang w:val="en-US" w:eastAsia="zh-CN"/>
              </w:rPr>
              <w:t>2、</w:t>
            </w:r>
            <w:r>
              <w:rPr>
                <w:color w:val="auto"/>
                <w:highlight w:val="none"/>
              </w:rPr>
              <w:t>上述费用均由</w:t>
            </w:r>
            <w:r>
              <w:rPr>
                <w:rFonts w:hint="eastAsia"/>
                <w:color w:val="auto"/>
                <w:highlight w:val="none"/>
              </w:rPr>
              <w:t>中标人</w:t>
            </w:r>
            <w:r>
              <w:rPr>
                <w:color w:val="auto"/>
                <w:highlight w:val="none"/>
              </w:rPr>
              <w:t>支付。投标人须将此项费用全额计入投标</w:t>
            </w:r>
            <w:r>
              <w:rPr>
                <w:rFonts w:hint="eastAsia"/>
                <w:color w:val="auto"/>
                <w:highlight w:val="none"/>
              </w:rPr>
              <w:t>的各综合单价中，无须单独列项。中标公示结束后三个工作日内，中标人应一次性向哈尔滨产权交易所有限责任公司以汇款方式全额支付上述款项。</w:t>
            </w:r>
            <w:r>
              <w:rPr>
                <w:color w:val="auto"/>
                <w:highlight w:val="none"/>
              </w:rPr>
              <w:t>逾期支付，</w:t>
            </w:r>
            <w:r>
              <w:rPr>
                <w:rFonts w:hint="eastAsia"/>
                <w:color w:val="auto"/>
                <w:highlight w:val="none"/>
              </w:rPr>
              <w:t>应</w:t>
            </w:r>
            <w:r>
              <w:rPr>
                <w:color w:val="auto"/>
                <w:highlight w:val="none"/>
              </w:rPr>
              <w:t>按照</w:t>
            </w:r>
            <w:r>
              <w:rPr>
                <w:rFonts w:hint="eastAsia"/>
                <w:color w:val="auto"/>
                <w:highlight w:val="none"/>
              </w:rPr>
              <w:t>招标</w:t>
            </w:r>
            <w:r>
              <w:rPr>
                <w:color w:val="auto"/>
                <w:highlight w:val="none"/>
              </w:rPr>
              <w:t>代理机构与招标人签订的</w:t>
            </w:r>
            <w:r>
              <w:rPr>
                <w:rFonts w:hint="eastAsia"/>
                <w:color w:val="auto"/>
                <w:highlight w:val="none"/>
              </w:rPr>
              <w:t>委托</w:t>
            </w:r>
            <w:r>
              <w:rPr>
                <w:color w:val="auto"/>
                <w:highlight w:val="none"/>
              </w:rPr>
              <w:t>代理合同的约定由中标人支付滞纳金</w:t>
            </w:r>
            <w:r>
              <w:rPr>
                <w:rFonts w:hint="eastAsia"/>
                <w:color w:val="auto"/>
                <w:highlight w:val="none"/>
              </w:rPr>
              <w:t>。</w:t>
            </w:r>
          </w:p>
          <w:p w14:paraId="3889FC31">
            <w:pPr>
              <w:tabs>
                <w:tab w:val="left" w:pos="720"/>
                <w:tab w:val="left" w:pos="900"/>
                <w:tab w:val="left" w:pos="966"/>
                <w:tab w:val="left" w:pos="1107"/>
              </w:tabs>
              <w:adjustRightInd w:val="0"/>
              <w:snapToGrid w:val="0"/>
              <w:spacing w:line="430" w:lineRule="exact"/>
              <w:ind w:firstLine="420" w:firstLineChars="200"/>
              <w:rPr>
                <w:color w:val="auto"/>
                <w:highlight w:val="none"/>
              </w:rPr>
            </w:pPr>
            <w:r>
              <w:rPr>
                <w:color w:val="auto"/>
                <w:highlight w:val="none"/>
              </w:rPr>
              <w:t>如中标，任何以误解或不明等为理由而进行的拒付、降价或索赔等主张都将被拒绝。此类行为如影响招标投标后续备案工作顺利进行的</w:t>
            </w:r>
            <w:r>
              <w:rPr>
                <w:rFonts w:hint="eastAsia"/>
                <w:color w:val="auto"/>
                <w:highlight w:val="none"/>
              </w:rPr>
              <w:t>，</w:t>
            </w:r>
            <w:r>
              <w:rPr>
                <w:color w:val="auto"/>
                <w:highlight w:val="none"/>
              </w:rPr>
              <w:t>将</w:t>
            </w:r>
            <w:r>
              <w:rPr>
                <w:rFonts w:hint="eastAsia"/>
                <w:color w:val="auto"/>
                <w:highlight w:val="none"/>
              </w:rPr>
              <w:t>从</w:t>
            </w:r>
            <w:r>
              <w:rPr>
                <w:color w:val="auto"/>
                <w:highlight w:val="none"/>
              </w:rPr>
              <w:t>投标保证金</w:t>
            </w:r>
            <w:r>
              <w:rPr>
                <w:rFonts w:hint="eastAsia"/>
                <w:color w:val="auto"/>
                <w:highlight w:val="none"/>
              </w:rPr>
              <w:t>中</w:t>
            </w:r>
            <w:r>
              <w:rPr>
                <w:color w:val="auto"/>
                <w:highlight w:val="none"/>
              </w:rPr>
              <w:t>扣除</w:t>
            </w:r>
            <w:r>
              <w:rPr>
                <w:rFonts w:hint="eastAsia"/>
                <w:color w:val="auto"/>
                <w:highlight w:val="none"/>
              </w:rPr>
              <w:t>其</w:t>
            </w:r>
            <w:r>
              <w:rPr>
                <w:color w:val="auto"/>
                <w:highlight w:val="none"/>
              </w:rPr>
              <w:t>应当缴纳的相应费用。</w:t>
            </w:r>
          </w:p>
          <w:p w14:paraId="17086184">
            <w:pPr>
              <w:pStyle w:val="3"/>
              <w:rPr>
                <w:rFonts w:asciiTheme="minorEastAsia" w:hAnsiTheme="minorEastAsia" w:eastAsiaTheme="minorEastAsia"/>
                <w:color w:val="auto"/>
                <w:szCs w:val="21"/>
                <w:highlight w:val="none"/>
              </w:rPr>
            </w:pPr>
            <w:r>
              <w:rPr>
                <w:rFonts w:ascii="Times New Roman" w:hAnsi="Times New Roman" w:eastAsia="宋体"/>
                <w:color w:val="auto"/>
                <w:sz w:val="21"/>
                <w:szCs w:val="22"/>
                <w:highlight w:val="none"/>
              </w:rPr>
              <w:t>注：</w:t>
            </w:r>
            <w:r>
              <w:rPr>
                <w:rFonts w:hint="eastAsia" w:ascii="Times New Roman" w:hAnsi="Times New Roman" w:eastAsia="宋体"/>
                <w:color w:val="auto"/>
                <w:sz w:val="21"/>
                <w:szCs w:val="22"/>
                <w:highlight w:val="none"/>
              </w:rPr>
              <w:t>投标人</w:t>
            </w:r>
            <w:r>
              <w:rPr>
                <w:rFonts w:ascii="Times New Roman" w:hAnsi="Times New Roman" w:eastAsia="宋体"/>
                <w:color w:val="auto"/>
                <w:sz w:val="21"/>
                <w:szCs w:val="22"/>
                <w:highlight w:val="none"/>
              </w:rPr>
              <w:t>应当通过会员注册时绑定的企业银行基本账户，将服务费按时足额汇入哈尔滨产权交易所有限责任公司</w:t>
            </w:r>
            <w:r>
              <w:rPr>
                <w:rFonts w:hint="eastAsia" w:ascii="Times New Roman" w:hAnsi="Times New Roman" w:eastAsia="宋体"/>
                <w:color w:val="auto"/>
                <w:sz w:val="21"/>
                <w:szCs w:val="22"/>
                <w:highlight w:val="none"/>
              </w:rPr>
              <w:t>阳光</w:t>
            </w:r>
            <w:r>
              <w:rPr>
                <w:rFonts w:hint="eastAsia" w:ascii="Times New Roman" w:hAnsi="Times New Roman" w:eastAsia="宋体"/>
                <w:color w:val="auto"/>
                <w:sz w:val="21"/>
                <w:szCs w:val="22"/>
                <w:highlight w:val="none"/>
                <w:lang w:eastAsia="zh-CN"/>
              </w:rPr>
              <w:t>招标</w:t>
            </w:r>
            <w:r>
              <w:rPr>
                <w:rFonts w:hint="eastAsia" w:ascii="Times New Roman" w:hAnsi="Times New Roman" w:eastAsia="宋体"/>
                <w:color w:val="auto"/>
                <w:sz w:val="21"/>
                <w:szCs w:val="22"/>
                <w:highlight w:val="none"/>
              </w:rPr>
              <w:t>平台</w:t>
            </w:r>
            <w:r>
              <w:rPr>
                <w:rFonts w:ascii="Times New Roman" w:hAnsi="Times New Roman" w:eastAsia="宋体"/>
                <w:color w:val="auto"/>
                <w:sz w:val="21"/>
                <w:szCs w:val="22"/>
                <w:highlight w:val="none"/>
              </w:rPr>
              <w:t>系统生成的银行账户。服务费的交纳账号同时由</w:t>
            </w:r>
            <w:r>
              <w:rPr>
                <w:rFonts w:hint="eastAsia" w:ascii="Times New Roman" w:hAnsi="Times New Roman" w:eastAsia="宋体"/>
                <w:color w:val="auto"/>
                <w:sz w:val="21"/>
                <w:szCs w:val="22"/>
                <w:highlight w:val="none"/>
                <w:lang w:eastAsia="zh-CN"/>
              </w:rPr>
              <w:t>招标</w:t>
            </w:r>
            <w:r>
              <w:rPr>
                <w:rFonts w:ascii="Times New Roman" w:hAnsi="Times New Roman" w:eastAsia="宋体"/>
                <w:color w:val="auto"/>
                <w:sz w:val="21"/>
                <w:szCs w:val="22"/>
                <w:highlight w:val="none"/>
              </w:rPr>
              <w:t>平台以短信的形式向成交</w:t>
            </w:r>
            <w:r>
              <w:rPr>
                <w:rFonts w:hint="eastAsia" w:ascii="Times New Roman" w:hAnsi="Times New Roman" w:eastAsia="宋体"/>
                <w:color w:val="auto"/>
                <w:sz w:val="21"/>
                <w:szCs w:val="22"/>
                <w:highlight w:val="none"/>
                <w:lang w:eastAsia="zh-CN"/>
              </w:rPr>
              <w:t>投标人</w:t>
            </w:r>
            <w:r>
              <w:rPr>
                <w:rFonts w:ascii="Times New Roman" w:hAnsi="Times New Roman" w:eastAsia="宋体"/>
                <w:color w:val="auto"/>
                <w:sz w:val="21"/>
                <w:szCs w:val="22"/>
                <w:highlight w:val="none"/>
              </w:rPr>
              <w:t>注册手机发送，每个项目及每个项目所划分包次/标段的账号均不相同；每个中标人收到的账号均不相同，请中标人仔细核对账户，以其它方式交纳或第三方代交均无效。</w:t>
            </w:r>
          </w:p>
        </w:tc>
      </w:tr>
      <w:tr w14:paraId="54936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2193C914">
            <w:pPr>
              <w:adjustRightInd w:val="0"/>
              <w:snapToGrid w:val="0"/>
              <w:spacing w:line="43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rPr>
              <w:t>8</w:t>
            </w:r>
          </w:p>
        </w:tc>
        <w:tc>
          <w:tcPr>
            <w:tcW w:w="1829" w:type="dxa"/>
            <w:tcBorders>
              <w:top w:val="single" w:color="auto" w:sz="4" w:space="0"/>
              <w:left w:val="single" w:color="auto" w:sz="4" w:space="0"/>
              <w:bottom w:val="single" w:color="auto" w:sz="4" w:space="0"/>
              <w:right w:val="single" w:color="auto" w:sz="4" w:space="0"/>
            </w:tcBorders>
            <w:vAlign w:val="center"/>
          </w:tcPr>
          <w:p w14:paraId="01982CCC">
            <w:pPr>
              <w:adjustRightInd w:val="0"/>
              <w:snapToGrid w:val="0"/>
              <w:spacing w:line="430" w:lineRule="exact"/>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color w:val="auto"/>
                <w:szCs w:val="21"/>
                <w:highlight w:val="none"/>
              </w:rPr>
              <w:t>异议</w:t>
            </w:r>
          </w:p>
        </w:tc>
        <w:tc>
          <w:tcPr>
            <w:tcW w:w="6289" w:type="dxa"/>
            <w:tcBorders>
              <w:top w:val="single" w:color="auto" w:sz="4" w:space="0"/>
              <w:left w:val="single" w:color="auto" w:sz="4" w:space="0"/>
              <w:bottom w:val="single" w:color="auto" w:sz="4" w:space="0"/>
              <w:right w:val="single" w:color="auto" w:sz="4" w:space="0"/>
            </w:tcBorders>
            <w:vAlign w:val="center"/>
          </w:tcPr>
          <w:p w14:paraId="07C8EB80">
            <w:pPr>
              <w:adjustRightInd w:val="0"/>
              <w:snapToGrid w:val="0"/>
              <w:spacing w:line="430" w:lineRule="exact"/>
              <w:ind w:left="210" w:leftChars="100"/>
              <w:rPr>
                <w:color w:val="auto"/>
                <w:kern w:val="0"/>
                <w:szCs w:val="21"/>
                <w:highlight w:val="none"/>
              </w:rPr>
            </w:pPr>
            <w:r>
              <w:rPr>
                <w:rFonts w:hint="eastAsia"/>
                <w:color w:val="auto"/>
                <w:kern w:val="0"/>
                <w:szCs w:val="21"/>
                <w:highlight w:val="none"/>
              </w:rPr>
              <w:t>投标人</w:t>
            </w:r>
            <w:r>
              <w:rPr>
                <w:color w:val="auto"/>
                <w:kern w:val="0"/>
                <w:szCs w:val="21"/>
                <w:highlight w:val="none"/>
              </w:rPr>
              <w:t>或者其他利害关系人</w:t>
            </w:r>
            <w:r>
              <w:rPr>
                <w:rFonts w:hint="eastAsia"/>
                <w:color w:val="auto"/>
                <w:kern w:val="0"/>
                <w:szCs w:val="21"/>
                <w:highlight w:val="none"/>
              </w:rPr>
              <w:t>就下列事项进行投诉的，应当在规定时限内，先向招标人</w:t>
            </w:r>
            <w:r>
              <w:rPr>
                <w:color w:val="auto"/>
                <w:highlight w:val="none"/>
              </w:rPr>
              <w:t>（招标代理机构）</w:t>
            </w:r>
            <w:r>
              <w:rPr>
                <w:rFonts w:hint="eastAsia"/>
                <w:color w:val="auto"/>
                <w:kern w:val="0"/>
                <w:szCs w:val="21"/>
                <w:highlight w:val="none"/>
              </w:rPr>
              <w:t>提出异议，招标人</w:t>
            </w:r>
            <w:r>
              <w:rPr>
                <w:color w:val="auto"/>
                <w:highlight w:val="none"/>
              </w:rPr>
              <w:t>（招标代理机构）</w:t>
            </w:r>
            <w:r>
              <w:rPr>
                <w:rFonts w:hint="eastAsia"/>
                <w:color w:val="auto"/>
                <w:kern w:val="0"/>
                <w:szCs w:val="21"/>
                <w:highlight w:val="none"/>
              </w:rPr>
              <w:t>应在收到异议之日起3日内作出答复，作出答复前，将暂停招标投标活动。</w:t>
            </w:r>
          </w:p>
          <w:p w14:paraId="78AFD1BA">
            <w:pPr>
              <w:numPr>
                <w:ilvl w:val="0"/>
                <w:numId w:val="6"/>
              </w:numPr>
              <w:adjustRightInd w:val="0"/>
              <w:snapToGrid w:val="0"/>
              <w:spacing w:line="430" w:lineRule="exact"/>
              <w:ind w:left="85" w:firstLine="0"/>
              <w:rPr>
                <w:color w:val="auto"/>
                <w:kern w:val="0"/>
                <w:szCs w:val="21"/>
                <w:highlight w:val="none"/>
              </w:rPr>
            </w:pPr>
            <w:r>
              <w:rPr>
                <w:color w:val="auto"/>
                <w:kern w:val="0"/>
                <w:szCs w:val="21"/>
                <w:highlight w:val="none"/>
              </w:rPr>
              <w:t>认为招标公告内容违法或者不当的，应当在招标公告发布之日起5</w:t>
            </w:r>
            <w:r>
              <w:rPr>
                <w:rFonts w:hint="eastAsia"/>
                <w:color w:val="auto"/>
                <w:kern w:val="0"/>
                <w:szCs w:val="21"/>
                <w:highlight w:val="none"/>
              </w:rPr>
              <w:t>个</w:t>
            </w:r>
            <w:r>
              <w:rPr>
                <w:color w:val="auto"/>
                <w:kern w:val="0"/>
                <w:szCs w:val="21"/>
                <w:highlight w:val="none"/>
              </w:rPr>
              <w:t>工作日内提出；</w:t>
            </w:r>
          </w:p>
          <w:p w14:paraId="3937BC4A">
            <w:pPr>
              <w:numPr>
                <w:ilvl w:val="0"/>
                <w:numId w:val="6"/>
              </w:numPr>
              <w:adjustRightInd w:val="0"/>
              <w:snapToGrid w:val="0"/>
              <w:spacing w:line="430" w:lineRule="exact"/>
              <w:ind w:left="85" w:firstLine="0"/>
              <w:rPr>
                <w:color w:val="auto"/>
                <w:kern w:val="0"/>
                <w:szCs w:val="21"/>
                <w:highlight w:val="none"/>
              </w:rPr>
            </w:pPr>
            <w:r>
              <w:rPr>
                <w:color w:val="auto"/>
                <w:kern w:val="0"/>
                <w:szCs w:val="21"/>
                <w:highlight w:val="none"/>
              </w:rPr>
              <w:t>认为招标文件内容</w:t>
            </w:r>
            <w:r>
              <w:rPr>
                <w:rFonts w:hint="eastAsia"/>
                <w:color w:val="auto"/>
                <w:kern w:val="0"/>
                <w:szCs w:val="21"/>
                <w:highlight w:val="none"/>
              </w:rPr>
              <w:t>、</w:t>
            </w:r>
            <w:r>
              <w:rPr>
                <w:color w:val="auto"/>
                <w:kern w:val="0"/>
                <w:szCs w:val="21"/>
                <w:highlight w:val="none"/>
              </w:rPr>
              <w:t>招投标</w:t>
            </w:r>
            <w:r>
              <w:rPr>
                <w:rFonts w:hint="eastAsia"/>
                <w:color w:val="auto"/>
                <w:kern w:val="0"/>
                <w:szCs w:val="21"/>
                <w:highlight w:val="none"/>
              </w:rPr>
              <w:t>活动</w:t>
            </w:r>
            <w:r>
              <w:rPr>
                <w:color w:val="auto"/>
                <w:kern w:val="0"/>
                <w:szCs w:val="21"/>
                <w:highlight w:val="none"/>
              </w:rPr>
              <w:t>违法或者不当的，应当在递交投标文件截止</w:t>
            </w:r>
            <w:r>
              <w:rPr>
                <w:rFonts w:hint="eastAsia"/>
                <w:color w:val="auto"/>
                <w:kern w:val="0"/>
                <w:szCs w:val="21"/>
                <w:highlight w:val="none"/>
              </w:rPr>
              <w:t>日的</w:t>
            </w:r>
            <w:r>
              <w:rPr>
                <w:rFonts w:hint="eastAsia"/>
                <w:color w:val="auto"/>
                <w:kern w:val="0"/>
                <w:szCs w:val="21"/>
                <w:highlight w:val="none"/>
                <w:lang w:val="en-US" w:eastAsia="zh-CN"/>
              </w:rPr>
              <w:t>1</w:t>
            </w:r>
            <w:r>
              <w:rPr>
                <w:color w:val="auto"/>
                <w:kern w:val="0"/>
                <w:szCs w:val="21"/>
                <w:highlight w:val="none"/>
              </w:rPr>
              <w:t>日</w:t>
            </w:r>
            <w:r>
              <w:rPr>
                <w:rFonts w:hint="eastAsia"/>
                <w:color w:val="auto"/>
                <w:kern w:val="0"/>
                <w:szCs w:val="21"/>
                <w:highlight w:val="none"/>
              </w:rPr>
              <w:t>之</w:t>
            </w:r>
            <w:r>
              <w:rPr>
                <w:color w:val="auto"/>
                <w:kern w:val="0"/>
                <w:szCs w:val="21"/>
                <w:highlight w:val="none"/>
              </w:rPr>
              <w:t>前</w:t>
            </w:r>
            <w:r>
              <w:rPr>
                <w:rFonts w:hint="eastAsia"/>
                <w:color w:val="auto"/>
                <w:kern w:val="0"/>
                <w:szCs w:val="21"/>
                <w:highlight w:val="none"/>
              </w:rPr>
              <w:t>（</w:t>
            </w:r>
            <w:r>
              <w:rPr>
                <w:color w:val="auto"/>
                <w:kern w:val="0"/>
                <w:szCs w:val="21"/>
                <w:highlight w:val="none"/>
              </w:rPr>
              <w:t>不含</w:t>
            </w:r>
            <w:r>
              <w:rPr>
                <w:rFonts w:hint="eastAsia"/>
                <w:color w:val="auto"/>
                <w:kern w:val="0"/>
                <w:szCs w:val="21"/>
                <w:highlight w:val="none"/>
                <w:lang w:val="en-US" w:eastAsia="zh-CN"/>
              </w:rPr>
              <w:t>1</w:t>
            </w:r>
            <w:r>
              <w:rPr>
                <w:rFonts w:hint="eastAsia"/>
                <w:color w:val="auto"/>
                <w:kern w:val="0"/>
                <w:szCs w:val="21"/>
                <w:highlight w:val="none"/>
              </w:rPr>
              <w:t>日</w:t>
            </w:r>
            <w:r>
              <w:rPr>
                <w:color w:val="auto"/>
                <w:kern w:val="0"/>
                <w:szCs w:val="21"/>
                <w:highlight w:val="none"/>
              </w:rPr>
              <w:t>）提出；</w:t>
            </w:r>
          </w:p>
          <w:p w14:paraId="67778E7A">
            <w:pPr>
              <w:numPr>
                <w:ilvl w:val="0"/>
                <w:numId w:val="6"/>
              </w:numPr>
              <w:adjustRightInd w:val="0"/>
              <w:snapToGrid w:val="0"/>
              <w:spacing w:line="430" w:lineRule="exact"/>
              <w:ind w:left="85" w:firstLine="0"/>
              <w:rPr>
                <w:color w:val="auto"/>
                <w:kern w:val="0"/>
                <w:szCs w:val="21"/>
                <w:highlight w:val="none"/>
              </w:rPr>
            </w:pPr>
            <w:r>
              <w:rPr>
                <w:color w:val="auto"/>
                <w:kern w:val="0"/>
                <w:szCs w:val="21"/>
                <w:highlight w:val="none"/>
              </w:rPr>
              <w:t>认为开标活动违法或者不当的，应当在开标现场提出，招标人将当场作出答复，并制作记录；</w:t>
            </w:r>
          </w:p>
          <w:p w14:paraId="4314FF43">
            <w:pPr>
              <w:numPr>
                <w:ilvl w:val="0"/>
                <w:numId w:val="6"/>
              </w:numPr>
              <w:adjustRightInd w:val="0"/>
              <w:snapToGrid w:val="0"/>
              <w:spacing w:line="430" w:lineRule="exact"/>
              <w:ind w:hanging="485"/>
              <w:rPr>
                <w:color w:val="auto"/>
                <w:kern w:val="0"/>
                <w:szCs w:val="21"/>
                <w:highlight w:val="none"/>
              </w:rPr>
            </w:pPr>
            <w:r>
              <w:rPr>
                <w:color w:val="auto"/>
                <w:kern w:val="0"/>
                <w:szCs w:val="21"/>
                <w:highlight w:val="none"/>
              </w:rPr>
              <w:t>认为评标结果不公正的，应当在中标候选人公示期间提出</w:t>
            </w:r>
            <w:r>
              <w:rPr>
                <w:rFonts w:hint="eastAsia"/>
                <w:color w:val="auto"/>
                <w:kern w:val="0"/>
                <w:szCs w:val="21"/>
                <w:highlight w:val="none"/>
              </w:rPr>
              <w:t>；</w:t>
            </w:r>
          </w:p>
          <w:p w14:paraId="66E89553">
            <w:pPr>
              <w:numPr>
                <w:ilvl w:val="0"/>
                <w:numId w:val="6"/>
              </w:numPr>
              <w:adjustRightInd w:val="0"/>
              <w:snapToGrid w:val="0"/>
              <w:spacing w:line="430" w:lineRule="exact"/>
              <w:ind w:left="85" w:firstLine="0"/>
              <w:rPr>
                <w:color w:val="auto"/>
                <w:kern w:val="0"/>
                <w:szCs w:val="21"/>
                <w:highlight w:val="none"/>
              </w:rPr>
            </w:pPr>
            <w:r>
              <w:rPr>
                <w:color w:val="auto"/>
                <w:kern w:val="0"/>
                <w:szCs w:val="21"/>
                <w:highlight w:val="none"/>
              </w:rPr>
              <w:t>投标人或者其他利害关系人应以书面形式并加盖投标人公章、法定代表人或委托代理人签字后向招标人</w:t>
            </w:r>
            <w:r>
              <w:rPr>
                <w:color w:val="auto"/>
                <w:highlight w:val="none"/>
              </w:rPr>
              <w:t>（招标代理机构）</w:t>
            </w:r>
            <w:r>
              <w:rPr>
                <w:color w:val="auto"/>
                <w:kern w:val="0"/>
                <w:szCs w:val="21"/>
                <w:highlight w:val="none"/>
              </w:rPr>
              <w:t>提出异议，由委托代理人签署的，还应附法定代表人签署的授权委托书原件；</w:t>
            </w:r>
          </w:p>
          <w:p w14:paraId="6F74540A">
            <w:pPr>
              <w:numPr>
                <w:ilvl w:val="0"/>
                <w:numId w:val="6"/>
              </w:numPr>
              <w:adjustRightInd w:val="0"/>
              <w:snapToGrid w:val="0"/>
              <w:spacing w:line="430" w:lineRule="exact"/>
              <w:ind w:left="0" w:firstLine="85"/>
              <w:rPr>
                <w:color w:val="auto"/>
                <w:kern w:val="0"/>
                <w:szCs w:val="21"/>
                <w:highlight w:val="none"/>
              </w:rPr>
            </w:pPr>
            <w:r>
              <w:rPr>
                <w:color w:val="auto"/>
                <w:kern w:val="0"/>
                <w:szCs w:val="21"/>
                <w:highlight w:val="none"/>
              </w:rPr>
              <w:t>投标人或者其他利害关系人不得通过捏造事实、伪造证明材料等方式，或者以非法手段或者非法渠道获取的证据材料提出异议，也不得以阻碍招标投标活动正常进行为目的恶意异议，否则异议无效；</w:t>
            </w:r>
          </w:p>
          <w:p w14:paraId="3287BA6F">
            <w:pPr>
              <w:numPr>
                <w:ilvl w:val="0"/>
                <w:numId w:val="6"/>
              </w:numPr>
              <w:adjustRightInd w:val="0"/>
              <w:snapToGrid w:val="0"/>
              <w:spacing w:line="430" w:lineRule="exact"/>
              <w:ind w:left="85" w:firstLine="0"/>
              <w:rPr>
                <w:color w:val="auto"/>
                <w:kern w:val="0"/>
                <w:szCs w:val="21"/>
                <w:highlight w:val="none"/>
              </w:rPr>
            </w:pPr>
            <w:r>
              <w:rPr>
                <w:color w:val="auto"/>
                <w:kern w:val="0"/>
                <w:szCs w:val="21"/>
                <w:highlight w:val="none"/>
              </w:rPr>
              <w:t>超出本</w:t>
            </w:r>
            <w:r>
              <w:rPr>
                <w:rFonts w:hint="eastAsia"/>
                <w:color w:val="auto"/>
                <w:kern w:val="0"/>
                <w:szCs w:val="21"/>
                <w:highlight w:val="none"/>
              </w:rPr>
              <w:t>款</w:t>
            </w:r>
            <w:r>
              <w:rPr>
                <w:color w:val="auto"/>
                <w:kern w:val="0"/>
                <w:szCs w:val="21"/>
                <w:highlight w:val="none"/>
              </w:rPr>
              <w:t>第1</w:t>
            </w:r>
            <w:r>
              <w:rPr>
                <w:rFonts w:hint="eastAsia"/>
                <w:color w:val="auto"/>
                <w:kern w:val="0"/>
                <w:szCs w:val="21"/>
                <w:highlight w:val="none"/>
              </w:rPr>
              <w:t>~4项</w:t>
            </w:r>
            <w:r>
              <w:rPr>
                <w:color w:val="auto"/>
                <w:kern w:val="0"/>
                <w:szCs w:val="21"/>
                <w:highlight w:val="none"/>
              </w:rPr>
              <w:t>规定时限或未按本</w:t>
            </w:r>
            <w:r>
              <w:rPr>
                <w:rFonts w:hint="eastAsia"/>
                <w:color w:val="auto"/>
                <w:kern w:val="0"/>
                <w:szCs w:val="21"/>
                <w:highlight w:val="none"/>
              </w:rPr>
              <w:t>款</w:t>
            </w:r>
            <w:r>
              <w:rPr>
                <w:color w:val="auto"/>
                <w:kern w:val="0"/>
                <w:szCs w:val="21"/>
                <w:highlight w:val="none"/>
              </w:rPr>
              <w:t>第</w:t>
            </w:r>
            <w:r>
              <w:rPr>
                <w:rFonts w:hint="eastAsia"/>
                <w:color w:val="auto"/>
                <w:kern w:val="0"/>
                <w:szCs w:val="21"/>
                <w:highlight w:val="none"/>
              </w:rPr>
              <w:t>5~</w:t>
            </w:r>
            <w:r>
              <w:rPr>
                <w:color w:val="auto"/>
                <w:kern w:val="0"/>
                <w:szCs w:val="21"/>
                <w:highlight w:val="none"/>
              </w:rPr>
              <w:t>6</w:t>
            </w:r>
            <w:r>
              <w:rPr>
                <w:rFonts w:hint="eastAsia"/>
                <w:color w:val="auto"/>
                <w:kern w:val="0"/>
                <w:szCs w:val="21"/>
                <w:highlight w:val="none"/>
              </w:rPr>
              <w:t>项</w:t>
            </w:r>
            <w:r>
              <w:rPr>
                <w:color w:val="auto"/>
                <w:kern w:val="0"/>
                <w:szCs w:val="21"/>
                <w:highlight w:val="none"/>
              </w:rPr>
              <w:t>规定提出异议的，视为投标人无异议或异议无效，招标人将不</w:t>
            </w:r>
            <w:r>
              <w:rPr>
                <w:rFonts w:hint="eastAsia"/>
                <w:color w:val="auto"/>
                <w:kern w:val="0"/>
                <w:szCs w:val="21"/>
                <w:highlight w:val="none"/>
              </w:rPr>
              <w:t>予</w:t>
            </w:r>
            <w:r>
              <w:rPr>
                <w:color w:val="auto"/>
                <w:kern w:val="0"/>
                <w:szCs w:val="21"/>
                <w:highlight w:val="none"/>
              </w:rPr>
              <w:t>受理</w:t>
            </w:r>
            <w:r>
              <w:rPr>
                <w:color w:val="auto"/>
                <w:highlight w:val="none"/>
              </w:rPr>
              <w:t>。</w:t>
            </w:r>
          </w:p>
        </w:tc>
      </w:tr>
      <w:tr w14:paraId="52025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4614032E">
            <w:pPr>
              <w:spacing w:line="430" w:lineRule="exact"/>
              <w:jc w:val="center"/>
              <w:rPr>
                <w:rFonts w:asciiTheme="minorEastAsia" w:hAnsiTheme="minorEastAsia"/>
                <w:color w:val="auto"/>
                <w:szCs w:val="21"/>
                <w:highlight w:val="none"/>
              </w:rPr>
            </w:pPr>
            <w:r>
              <w:rPr>
                <w:rFonts w:hint="eastAsia" w:ascii="宋体" w:hAnsi="宋体" w:cs="宋体"/>
                <w:color w:val="auto"/>
                <w:szCs w:val="21"/>
                <w:highlight w:val="none"/>
              </w:rPr>
              <w:t>10.9</w:t>
            </w:r>
          </w:p>
        </w:tc>
        <w:tc>
          <w:tcPr>
            <w:tcW w:w="1829" w:type="dxa"/>
            <w:tcBorders>
              <w:top w:val="single" w:color="auto" w:sz="4" w:space="0"/>
              <w:left w:val="single" w:color="auto" w:sz="4" w:space="0"/>
              <w:bottom w:val="single" w:color="auto" w:sz="4" w:space="0"/>
              <w:right w:val="single" w:color="auto" w:sz="4" w:space="0"/>
            </w:tcBorders>
            <w:vAlign w:val="center"/>
          </w:tcPr>
          <w:p w14:paraId="5E0B4629">
            <w:pPr>
              <w:spacing w:line="430" w:lineRule="exact"/>
              <w:jc w:val="center"/>
              <w:rPr>
                <w:rFonts w:asciiTheme="minorEastAsia" w:hAnsiTheme="minorEastAsia" w:eastAsiaTheme="minorEastAsia"/>
                <w:color w:val="auto"/>
                <w:szCs w:val="21"/>
                <w:highlight w:val="none"/>
              </w:rPr>
            </w:pPr>
            <w:r>
              <w:rPr>
                <w:rFonts w:hint="eastAsia" w:ascii="宋体" w:hAnsi="宋体" w:cs="宋体"/>
                <w:color w:val="auto"/>
                <w:szCs w:val="21"/>
                <w:highlight w:val="none"/>
              </w:rPr>
              <w:t>对恶意投诉、无理缠诉等行为的处罚</w:t>
            </w:r>
          </w:p>
        </w:tc>
        <w:tc>
          <w:tcPr>
            <w:tcW w:w="6289" w:type="dxa"/>
            <w:tcBorders>
              <w:top w:val="single" w:color="auto" w:sz="4" w:space="0"/>
              <w:left w:val="single" w:color="auto" w:sz="4" w:space="0"/>
              <w:bottom w:val="single" w:color="auto" w:sz="4" w:space="0"/>
              <w:right w:val="single" w:color="auto" w:sz="4" w:space="0"/>
            </w:tcBorders>
            <w:vAlign w:val="center"/>
          </w:tcPr>
          <w:p w14:paraId="0F09F349">
            <w:pPr>
              <w:spacing w:line="430" w:lineRule="exact"/>
              <w:rPr>
                <w:color w:val="auto"/>
                <w:kern w:val="0"/>
                <w:szCs w:val="21"/>
                <w:highlight w:val="none"/>
              </w:rPr>
            </w:pPr>
            <w:r>
              <w:rPr>
                <w:rFonts w:hint="eastAsia" w:ascii="宋体" w:hAnsi="宋体" w:cs="宋体"/>
                <w:color w:val="auto"/>
                <w:szCs w:val="21"/>
                <w:highlight w:val="none"/>
              </w:rPr>
              <w:t>投标人或者其他利害关系人在本项目招标投标活动中如出现捏造事实、伪造材料、以非法手段或者非法渠道取得证明材料进行异议和投诉、以及以阻碍招标投标活动正常进行为目的进行恶意投诉、无理缠诉等行为的，将严格按规定处理；给他人造成损失的依法承担赔偿责任。</w:t>
            </w:r>
          </w:p>
        </w:tc>
      </w:tr>
      <w:tr w14:paraId="2A69E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4701A7F6">
            <w:pPr>
              <w:spacing w:line="43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10.10</w:t>
            </w:r>
          </w:p>
        </w:tc>
        <w:tc>
          <w:tcPr>
            <w:tcW w:w="1829" w:type="dxa"/>
            <w:tcBorders>
              <w:top w:val="single" w:color="auto" w:sz="4" w:space="0"/>
              <w:left w:val="single" w:color="auto" w:sz="4" w:space="0"/>
              <w:bottom w:val="single" w:color="auto" w:sz="4" w:space="0"/>
              <w:right w:val="single" w:color="auto" w:sz="4" w:space="0"/>
            </w:tcBorders>
            <w:vAlign w:val="center"/>
          </w:tcPr>
          <w:p w14:paraId="634F6608">
            <w:pPr>
              <w:spacing w:line="43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特殊说明</w:t>
            </w:r>
          </w:p>
        </w:tc>
        <w:tc>
          <w:tcPr>
            <w:tcW w:w="6289" w:type="dxa"/>
            <w:tcBorders>
              <w:top w:val="single" w:color="auto" w:sz="4" w:space="0"/>
              <w:left w:val="single" w:color="auto" w:sz="4" w:space="0"/>
              <w:bottom w:val="single" w:color="auto" w:sz="4" w:space="0"/>
              <w:right w:val="single" w:color="auto" w:sz="4" w:space="0"/>
            </w:tcBorders>
            <w:vAlign w:val="center"/>
          </w:tcPr>
          <w:p w14:paraId="57B9B647">
            <w:pPr>
              <w:spacing w:line="43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请投标人充分考虑缴纳完标书款后的各种情况（包括招标项目取消及变更、递交投标文件家数不满足最低要求导致项目流标、项目开标后废标等情况），标书款售后不退。</w:t>
            </w:r>
          </w:p>
          <w:p w14:paraId="02F31795">
            <w:pPr>
              <w:spacing w:line="43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请各潜在投标人仔细核对各费用缴费账户信息，由于投标人原因导致缴纳各项费用发生错误，由投标人自行承担各种结果（包含未成功参与项目、各项费用不予退还等情况）。</w:t>
            </w:r>
          </w:p>
        </w:tc>
      </w:tr>
      <w:tr w14:paraId="59978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69" w:type="dxa"/>
            <w:tcBorders>
              <w:top w:val="single" w:color="auto" w:sz="4" w:space="0"/>
              <w:left w:val="single" w:color="auto" w:sz="4" w:space="0"/>
              <w:bottom w:val="single" w:color="auto" w:sz="4" w:space="0"/>
              <w:right w:val="single" w:color="auto" w:sz="4" w:space="0"/>
            </w:tcBorders>
            <w:vAlign w:val="center"/>
          </w:tcPr>
          <w:p w14:paraId="525CD80A">
            <w:pPr>
              <w:spacing w:line="43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10.11</w:t>
            </w:r>
          </w:p>
        </w:tc>
        <w:tc>
          <w:tcPr>
            <w:tcW w:w="1829" w:type="dxa"/>
            <w:tcBorders>
              <w:top w:val="single" w:color="auto" w:sz="4" w:space="0"/>
              <w:left w:val="single" w:color="auto" w:sz="4" w:space="0"/>
              <w:bottom w:val="single" w:color="auto" w:sz="4" w:space="0"/>
              <w:right w:val="single" w:color="auto" w:sz="4" w:space="0"/>
            </w:tcBorders>
            <w:vAlign w:val="center"/>
          </w:tcPr>
          <w:p w14:paraId="1AD873C5">
            <w:pPr>
              <w:spacing w:line="43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报价说明</w:t>
            </w:r>
          </w:p>
        </w:tc>
        <w:tc>
          <w:tcPr>
            <w:tcW w:w="6289" w:type="dxa"/>
            <w:tcBorders>
              <w:top w:val="single" w:color="auto" w:sz="4" w:space="0"/>
              <w:left w:val="single" w:color="auto" w:sz="4" w:space="0"/>
              <w:bottom w:val="single" w:color="auto" w:sz="4" w:space="0"/>
              <w:right w:val="single" w:color="auto" w:sz="4" w:space="0"/>
            </w:tcBorders>
            <w:vAlign w:val="center"/>
          </w:tcPr>
          <w:p w14:paraId="73F6473C">
            <w:pPr>
              <w:spacing w:line="43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投标人应根据技术条件书中招标人给定的货物需求及供货范围对每项产品进行报价，报价格式可自行拟定，所报产品单价总和应和投标报价总价相对应。</w:t>
            </w:r>
          </w:p>
          <w:p w14:paraId="0A3D1409">
            <w:pPr>
              <w:spacing w:line="43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中标单位需向总承包单位缴纳中标金额</w:t>
            </w:r>
            <w:r>
              <w:rPr>
                <w:rFonts w:hint="default" w:ascii="宋体" w:hAnsi="宋体" w:cs="宋体"/>
                <w:color w:val="auto"/>
                <w:szCs w:val="21"/>
                <w:highlight w:val="none"/>
                <w:lang w:val="en-US" w:eastAsia="zh-CN"/>
              </w:rPr>
              <w:t>8%总</w:t>
            </w:r>
            <w:r>
              <w:rPr>
                <w:rFonts w:hint="eastAsia" w:ascii="宋体" w:hAnsi="宋体" w:cs="宋体"/>
                <w:color w:val="auto"/>
                <w:szCs w:val="21"/>
                <w:highlight w:val="none"/>
                <w:lang w:val="en-US" w:eastAsia="zh-CN"/>
              </w:rPr>
              <w:t>承</w:t>
            </w:r>
            <w:r>
              <w:rPr>
                <w:rFonts w:hint="default" w:ascii="宋体" w:hAnsi="宋体" w:cs="宋体"/>
                <w:color w:val="auto"/>
                <w:szCs w:val="21"/>
                <w:highlight w:val="none"/>
                <w:lang w:val="en-US" w:eastAsia="zh-CN"/>
              </w:rPr>
              <w:t>包服务费</w:t>
            </w:r>
            <w:r>
              <w:rPr>
                <w:rFonts w:hint="eastAsia" w:ascii="宋体" w:hAnsi="宋体" w:cs="宋体"/>
                <w:color w:val="auto"/>
                <w:szCs w:val="21"/>
                <w:highlight w:val="none"/>
                <w:lang w:val="en-US" w:eastAsia="zh-CN"/>
              </w:rPr>
              <w:t>，总承包服务费无需单独列项。</w:t>
            </w:r>
          </w:p>
        </w:tc>
      </w:tr>
      <w:tr w14:paraId="74707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9087" w:type="dxa"/>
            <w:gridSpan w:val="3"/>
            <w:tcBorders>
              <w:top w:val="single" w:color="auto" w:sz="4" w:space="0"/>
              <w:left w:val="single" w:color="auto" w:sz="4" w:space="0"/>
              <w:bottom w:val="single" w:color="auto" w:sz="4" w:space="0"/>
              <w:right w:val="single" w:color="auto" w:sz="4" w:space="0"/>
            </w:tcBorders>
            <w:vAlign w:val="center"/>
          </w:tcPr>
          <w:p w14:paraId="34F1FD22">
            <w:pPr>
              <w:adjustRightInd w:val="0"/>
              <w:snapToGrid w:val="0"/>
              <w:spacing w:line="400" w:lineRule="exact"/>
              <w:rPr>
                <w:color w:val="auto"/>
                <w:highlight w:val="none"/>
              </w:rPr>
            </w:pPr>
            <w:r>
              <w:rPr>
                <w:rFonts w:hint="eastAsia"/>
                <w:color w:val="auto"/>
                <w:highlight w:val="none"/>
              </w:rPr>
              <w:t>注意事项：</w:t>
            </w:r>
          </w:p>
          <w:p w14:paraId="70D3C5C1">
            <w:pPr>
              <w:adjustRightInd w:val="0"/>
              <w:snapToGrid w:val="0"/>
              <w:spacing w:line="380" w:lineRule="exact"/>
              <w:ind w:firstLine="210" w:firstLineChars="100"/>
              <w:rPr>
                <w:color w:val="auto"/>
                <w:highlight w:val="none"/>
              </w:rPr>
            </w:pPr>
            <w:r>
              <w:rPr>
                <w:rFonts w:hint="eastAsia"/>
                <w:color w:val="auto"/>
                <w:highlight w:val="none"/>
              </w:rPr>
              <w:t>1、请投标人务必详细阅读本招标文件的全部条款，并及时关注相关网站发布的与本项目招标投标有关的一切信息，以减少不必要的失误，否则，由此引起的任何损失或风险均由投标人自行承担；</w:t>
            </w:r>
          </w:p>
          <w:p w14:paraId="269598D0">
            <w:pPr>
              <w:adjustRightInd w:val="0"/>
              <w:snapToGrid w:val="0"/>
              <w:spacing w:line="380" w:lineRule="exact"/>
              <w:ind w:firstLine="210" w:firstLineChars="100"/>
              <w:rPr>
                <w:rFonts w:eastAsiaTheme="minorEastAsia"/>
                <w:color w:val="auto"/>
                <w:highlight w:val="none"/>
              </w:rPr>
            </w:pPr>
            <w:r>
              <w:rPr>
                <w:rFonts w:hint="eastAsia"/>
                <w:color w:val="auto"/>
                <w:highlight w:val="none"/>
              </w:rPr>
              <w:t>2、投标人获取招标文件后应认真审阅招标文件中的所有事项、格式、条款和规范要求等实质性要求和条件，如认为有关内容使自身权益受到损害的，应在规定时限内，以书面形式向招标人提出异议。非书面形式、逾期以及匿名的异议招标人将不予受理，并视为对本招标文件要求无异议。</w:t>
            </w:r>
          </w:p>
        </w:tc>
      </w:tr>
    </w:tbl>
    <w:p w14:paraId="258823CA">
      <w:pPr>
        <w:rPr>
          <w:color w:val="auto"/>
          <w:highlight w:val="none"/>
        </w:rPr>
      </w:pPr>
      <w:bookmarkStart w:id="2" w:name="_Toc152042306"/>
      <w:bookmarkStart w:id="3" w:name="_Toc179632547"/>
      <w:bookmarkStart w:id="4" w:name="_Toc152045530"/>
      <w:bookmarkStart w:id="5" w:name="_Toc144974498"/>
    </w:p>
    <w:p w14:paraId="60501312">
      <w:pPr>
        <w:rPr>
          <w:rFonts w:hint="eastAsia"/>
          <w:b/>
          <w:color w:val="auto"/>
          <w:sz w:val="44"/>
          <w:szCs w:val="44"/>
          <w:highlight w:val="none"/>
        </w:rPr>
      </w:pPr>
      <w:r>
        <w:rPr>
          <w:rFonts w:hint="eastAsia"/>
          <w:b/>
          <w:color w:val="auto"/>
          <w:sz w:val="44"/>
          <w:szCs w:val="44"/>
          <w:highlight w:val="none"/>
        </w:rPr>
        <w:br w:type="page"/>
      </w:r>
    </w:p>
    <w:p w14:paraId="4D2462C5">
      <w:pPr>
        <w:jc w:val="center"/>
        <w:rPr>
          <w:b/>
          <w:color w:val="auto"/>
          <w:sz w:val="44"/>
          <w:szCs w:val="44"/>
          <w:highlight w:val="none"/>
        </w:rPr>
      </w:pPr>
      <w:r>
        <w:rPr>
          <w:rFonts w:hint="eastAsia"/>
          <w:b/>
          <w:color w:val="auto"/>
          <w:sz w:val="44"/>
          <w:szCs w:val="44"/>
          <w:highlight w:val="none"/>
        </w:rPr>
        <w:t>投标人</w:t>
      </w:r>
      <w:r>
        <w:rPr>
          <w:b/>
          <w:color w:val="auto"/>
          <w:sz w:val="44"/>
          <w:szCs w:val="44"/>
          <w:highlight w:val="none"/>
        </w:rPr>
        <w:t>须知正文部分</w:t>
      </w:r>
    </w:p>
    <w:bookmarkEnd w:id="2"/>
    <w:bookmarkEnd w:id="3"/>
    <w:bookmarkEnd w:id="4"/>
    <w:bookmarkEnd w:id="5"/>
    <w:p w14:paraId="41497555">
      <w:pPr>
        <w:pStyle w:val="3"/>
        <w:spacing w:line="430" w:lineRule="exact"/>
        <w:rPr>
          <w:rFonts w:ascii="宋体" w:hAnsi="宋体" w:eastAsia="宋体" w:cs="宋体"/>
          <w:color w:val="auto"/>
          <w:sz w:val="21"/>
          <w:szCs w:val="21"/>
          <w:highlight w:val="none"/>
        </w:rPr>
      </w:pPr>
      <w:bookmarkStart w:id="6" w:name="_Toc492300353"/>
      <w:r>
        <w:rPr>
          <w:rFonts w:hint="eastAsia" w:ascii="宋体" w:hAnsi="宋体" w:eastAsia="宋体" w:cs="宋体"/>
          <w:color w:val="auto"/>
          <w:sz w:val="21"/>
          <w:szCs w:val="21"/>
          <w:highlight w:val="none"/>
        </w:rPr>
        <w:t>1. 总则</w:t>
      </w:r>
      <w:bookmarkEnd w:id="6"/>
    </w:p>
    <w:p w14:paraId="5F6DD631">
      <w:pPr>
        <w:pStyle w:val="4"/>
        <w:spacing w:line="430" w:lineRule="exact"/>
        <w:ind w:firstLine="103"/>
        <w:jc w:val="left"/>
        <w:rPr>
          <w:rFonts w:ascii="宋体" w:hAnsi="宋体" w:cs="宋体"/>
          <w:color w:val="auto"/>
          <w:sz w:val="21"/>
          <w:szCs w:val="21"/>
          <w:highlight w:val="none"/>
        </w:rPr>
      </w:pPr>
      <w:bookmarkStart w:id="7" w:name="_Toc492300354"/>
      <w:r>
        <w:rPr>
          <w:rFonts w:hint="eastAsia" w:ascii="宋体" w:hAnsi="宋体" w:cs="宋体"/>
          <w:color w:val="auto"/>
          <w:sz w:val="21"/>
          <w:szCs w:val="21"/>
          <w:highlight w:val="none"/>
        </w:rPr>
        <w:t>1.1 招标项目概况</w:t>
      </w:r>
      <w:bookmarkEnd w:id="7"/>
    </w:p>
    <w:p w14:paraId="0959C8D1">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1.1.1根据有关法律、法规和规章的规定，本招标项目已具备招标条件，现对服务进行招标。</w:t>
      </w:r>
    </w:p>
    <w:p w14:paraId="285CB66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招标人：见投标人须知前附表。</w:t>
      </w:r>
    </w:p>
    <w:p w14:paraId="4156E2B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招标代理机构：见投标人须知前附表。</w:t>
      </w:r>
    </w:p>
    <w:p w14:paraId="3AD3B86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招标项目名称：见投标人须知前附表。</w:t>
      </w:r>
    </w:p>
    <w:p w14:paraId="7EDC90E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项目</w:t>
      </w:r>
      <w:r>
        <w:rPr>
          <w:rFonts w:hint="eastAsia" w:ascii="宋体" w:hAnsi="宋体" w:cs="宋体"/>
          <w:color w:val="auto"/>
          <w:szCs w:val="21"/>
          <w:highlight w:val="none"/>
          <w:lang w:eastAsia="zh-CN"/>
        </w:rPr>
        <w:t>供货地点</w:t>
      </w:r>
      <w:r>
        <w:rPr>
          <w:rFonts w:hint="eastAsia" w:ascii="宋体" w:hAnsi="宋体" w:cs="宋体"/>
          <w:color w:val="auto"/>
          <w:szCs w:val="21"/>
          <w:highlight w:val="none"/>
        </w:rPr>
        <w:t>：见投标人须知前附表。</w:t>
      </w:r>
    </w:p>
    <w:p w14:paraId="15C9E431">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1.1.6 项目建设规模：见投标人须知前附表。</w:t>
      </w:r>
    </w:p>
    <w:p w14:paraId="7C6EC6D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1.1.7 项目投资估算：见投标人须知前附表。</w:t>
      </w:r>
    </w:p>
    <w:p w14:paraId="122A337C">
      <w:pPr>
        <w:pStyle w:val="4"/>
        <w:spacing w:line="430" w:lineRule="exact"/>
        <w:ind w:firstLine="103"/>
        <w:jc w:val="left"/>
        <w:rPr>
          <w:rFonts w:ascii="宋体" w:hAnsi="宋体" w:cs="宋体"/>
          <w:bCs/>
          <w:color w:val="auto"/>
          <w:sz w:val="21"/>
          <w:szCs w:val="21"/>
          <w:highlight w:val="none"/>
        </w:rPr>
      </w:pPr>
      <w:bookmarkStart w:id="8" w:name="_Toc492300355"/>
      <w:r>
        <w:rPr>
          <w:rFonts w:hint="eastAsia" w:ascii="宋体" w:hAnsi="宋体" w:cs="宋体"/>
          <w:bCs/>
          <w:color w:val="auto"/>
          <w:sz w:val="21"/>
          <w:szCs w:val="21"/>
          <w:highlight w:val="none"/>
        </w:rPr>
        <w:t>1.2 招标项目的资金来源和落实情况</w:t>
      </w:r>
      <w:bookmarkEnd w:id="8"/>
    </w:p>
    <w:p w14:paraId="3335CF1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资金来源及比例：见投标人须知前附表。</w:t>
      </w:r>
    </w:p>
    <w:p w14:paraId="08E2785B">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 资金落实情况：见投标人须知前附表。</w:t>
      </w:r>
    </w:p>
    <w:p w14:paraId="70E612D4">
      <w:pPr>
        <w:pStyle w:val="4"/>
        <w:spacing w:line="430" w:lineRule="exact"/>
        <w:ind w:firstLine="103"/>
        <w:jc w:val="left"/>
        <w:rPr>
          <w:rFonts w:ascii="宋体" w:hAnsi="宋体" w:cs="宋体"/>
          <w:bCs/>
          <w:color w:val="auto"/>
          <w:sz w:val="21"/>
          <w:szCs w:val="21"/>
          <w:highlight w:val="none"/>
        </w:rPr>
      </w:pPr>
      <w:bookmarkStart w:id="9" w:name="_Toc492300356"/>
      <w:r>
        <w:rPr>
          <w:rFonts w:hint="eastAsia" w:ascii="宋体" w:hAnsi="宋体" w:cs="宋体"/>
          <w:bCs/>
          <w:color w:val="auto"/>
          <w:sz w:val="21"/>
          <w:szCs w:val="21"/>
          <w:highlight w:val="none"/>
        </w:rPr>
        <w:t>1.3</w:t>
      </w:r>
      <w:r>
        <w:rPr>
          <w:rFonts w:hint="eastAsia" w:ascii="宋体" w:hAnsi="宋体" w:cs="宋体"/>
          <w:bCs/>
          <w:color w:val="auto"/>
          <w:sz w:val="21"/>
          <w:szCs w:val="21"/>
          <w:highlight w:val="none"/>
          <w:lang w:eastAsia="zh-CN"/>
        </w:rPr>
        <w:t>采购内容及范围</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eastAsia="zh-CN"/>
        </w:rPr>
        <w:t>供货时间/服务期限</w:t>
      </w:r>
      <w:r>
        <w:rPr>
          <w:rFonts w:hint="eastAsia" w:ascii="宋体" w:hAnsi="宋体" w:cs="宋体"/>
          <w:bCs/>
          <w:color w:val="auto"/>
          <w:sz w:val="21"/>
          <w:szCs w:val="21"/>
          <w:highlight w:val="none"/>
        </w:rPr>
        <w:t>和质量标准</w:t>
      </w:r>
      <w:bookmarkEnd w:id="9"/>
    </w:p>
    <w:p w14:paraId="0385C41B">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21"/>
          <w:highlight w:val="none"/>
          <w:lang w:eastAsia="zh-CN"/>
        </w:rPr>
        <w:t>采购内容及范围</w:t>
      </w:r>
      <w:r>
        <w:rPr>
          <w:rFonts w:hint="eastAsia" w:ascii="宋体" w:hAnsi="宋体" w:cs="宋体"/>
          <w:color w:val="auto"/>
          <w:szCs w:val="21"/>
          <w:highlight w:val="none"/>
        </w:rPr>
        <w:t>：见投标人须知前附表。</w:t>
      </w:r>
    </w:p>
    <w:p w14:paraId="25C1010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1.3.2 </w:t>
      </w:r>
      <w:r>
        <w:rPr>
          <w:rFonts w:hint="eastAsia" w:ascii="宋体" w:hAnsi="宋体" w:cs="宋体"/>
          <w:color w:val="auto"/>
          <w:szCs w:val="21"/>
          <w:highlight w:val="none"/>
          <w:lang w:eastAsia="zh-CN"/>
        </w:rPr>
        <w:t>供货时间/服务期限</w:t>
      </w:r>
      <w:r>
        <w:rPr>
          <w:rFonts w:hint="eastAsia" w:ascii="宋体" w:hAnsi="宋体" w:cs="宋体"/>
          <w:color w:val="auto"/>
          <w:szCs w:val="21"/>
          <w:highlight w:val="none"/>
        </w:rPr>
        <w:t>：见投标人须知前附表。</w:t>
      </w:r>
    </w:p>
    <w:p w14:paraId="399261D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质量标准：见投标人须知前附表。</w:t>
      </w:r>
    </w:p>
    <w:p w14:paraId="289AF0F1">
      <w:pPr>
        <w:pStyle w:val="4"/>
        <w:spacing w:line="430" w:lineRule="exact"/>
        <w:ind w:firstLine="103"/>
        <w:jc w:val="left"/>
        <w:rPr>
          <w:rFonts w:ascii="宋体" w:hAnsi="宋体" w:cs="宋体"/>
          <w:bCs/>
          <w:color w:val="auto"/>
          <w:sz w:val="21"/>
          <w:szCs w:val="21"/>
          <w:highlight w:val="none"/>
        </w:rPr>
      </w:pPr>
      <w:bookmarkStart w:id="10" w:name="_Toc492300357"/>
      <w:r>
        <w:rPr>
          <w:rFonts w:hint="eastAsia" w:ascii="宋体" w:hAnsi="宋体" w:cs="宋体"/>
          <w:bCs/>
          <w:color w:val="auto"/>
          <w:sz w:val="21"/>
          <w:szCs w:val="21"/>
          <w:highlight w:val="none"/>
        </w:rPr>
        <w:t>1.4投标人资格要求</w:t>
      </w:r>
      <w:bookmarkEnd w:id="10"/>
    </w:p>
    <w:p w14:paraId="6427DBE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投标人应具备承担本招标项目资质条件、能力和信誉：</w:t>
      </w:r>
    </w:p>
    <w:p w14:paraId="6126F541">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（1）资质要求：见投标人须知前附表；</w:t>
      </w:r>
    </w:p>
    <w:p w14:paraId="3B4E6304">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（2）财务要求：见投标人须知前附表；</w:t>
      </w:r>
    </w:p>
    <w:p w14:paraId="6DDB1500">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（3）业绩要求：见投标人须知前附表；</w:t>
      </w:r>
    </w:p>
    <w:p w14:paraId="62F745ED">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（4）信誉要求：见投标人须知前附表；</w:t>
      </w:r>
    </w:p>
    <w:p w14:paraId="3E9B724B">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（5）授权委托人的资格要求：见投标人须知前附表；</w:t>
      </w:r>
    </w:p>
    <w:p w14:paraId="49C01C4D">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（6）其他主要人员要求：见投标人须知前附表。</w:t>
      </w:r>
    </w:p>
    <w:p w14:paraId="1AC05622">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（7）其他要求：见投标人须知前附表。</w:t>
      </w:r>
    </w:p>
    <w:p w14:paraId="6974B6B6">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需要提交的相关证明材料见本章第3.5款的规定。</w:t>
      </w:r>
    </w:p>
    <w:p w14:paraId="78635615">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1.4.2投标人须知前附表规定接受联合体投标的，联合体除应符合本章第1.4.1项和投标人须知前附表的要求外，还应遵守以下规定：</w:t>
      </w:r>
    </w:p>
    <w:p w14:paraId="64BD6FB1">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（1）联合体各方应按招标文件提供的格式签订联合体协议书，明确联合体牵头人和各方权利义务，并承诺就中标项目向招标人承担连带责任；</w:t>
      </w:r>
    </w:p>
    <w:p w14:paraId="4EE87170">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（2）由同一专业的单位组成的联合体，按照资质等级较低的单位确定资质等级；</w:t>
      </w:r>
    </w:p>
    <w:p w14:paraId="0467461F">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（3）联合体各方不得再以自己名义单独或参加其他联合体在本招标项目中投标，否则各相关投标均无效。</w:t>
      </w:r>
    </w:p>
    <w:p w14:paraId="79A22A8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投标人不得存在下列情形之一：</w:t>
      </w:r>
    </w:p>
    <w:p w14:paraId="08689BAD">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5C0C3F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5EEBE0E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5C411C7D">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57682E2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（5）为本招标项目的代建人；</w:t>
      </w:r>
    </w:p>
    <w:p w14:paraId="3B19CC8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（6）为本招标项目的招标代理机构；</w:t>
      </w:r>
    </w:p>
    <w:p w14:paraId="2237551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2F4E912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576065D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（9）被依法暂停或者取消投标资格；</w:t>
      </w:r>
    </w:p>
    <w:p w14:paraId="1A50FCC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p>
    <w:p w14:paraId="4766CC36">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2926E52B">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（12）被工商行政管理机关在全国企业信用信息公示系统中列入严重违法失信企业名单；</w:t>
      </w:r>
    </w:p>
    <w:p w14:paraId="3BEBB552">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（13）被最高人民法院在“信用中国”网站（www.creditchina.gov.cn）或各级信用信息共享平台中列入失信被执行人名单；</w:t>
      </w:r>
    </w:p>
    <w:p w14:paraId="432AC0C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（14）在近三年内投标人或其法定代表人、拟委任的授权委托人有行贿犯罪行为的；</w:t>
      </w:r>
    </w:p>
    <w:p w14:paraId="180E52F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（15）法律法规或投标人须知前附表规定的其他情形。</w:t>
      </w:r>
    </w:p>
    <w:p w14:paraId="01308CEE">
      <w:pPr>
        <w:pStyle w:val="4"/>
        <w:spacing w:line="430" w:lineRule="exact"/>
        <w:ind w:firstLine="103"/>
        <w:jc w:val="left"/>
        <w:rPr>
          <w:rFonts w:ascii="宋体" w:hAnsi="宋体" w:cs="宋体"/>
          <w:bCs/>
          <w:color w:val="auto"/>
          <w:sz w:val="21"/>
          <w:szCs w:val="21"/>
          <w:highlight w:val="none"/>
        </w:rPr>
      </w:pPr>
      <w:bookmarkStart w:id="11" w:name="_Toc492300358"/>
      <w:r>
        <w:rPr>
          <w:rFonts w:hint="eastAsia" w:ascii="宋体" w:hAnsi="宋体" w:cs="宋体"/>
          <w:bCs/>
          <w:color w:val="auto"/>
          <w:sz w:val="21"/>
          <w:szCs w:val="21"/>
          <w:highlight w:val="none"/>
        </w:rPr>
        <w:t>1.5 费用承担</w:t>
      </w:r>
      <w:bookmarkEnd w:id="11"/>
    </w:p>
    <w:p w14:paraId="56875571">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C8D266C">
      <w:pPr>
        <w:pStyle w:val="4"/>
        <w:spacing w:line="430" w:lineRule="exact"/>
        <w:ind w:firstLine="103"/>
        <w:jc w:val="left"/>
        <w:rPr>
          <w:rFonts w:ascii="宋体" w:hAnsi="宋体" w:cs="宋体"/>
          <w:bCs/>
          <w:color w:val="auto"/>
          <w:sz w:val="21"/>
          <w:szCs w:val="21"/>
          <w:highlight w:val="none"/>
        </w:rPr>
      </w:pPr>
      <w:bookmarkStart w:id="12" w:name="_Toc492300359"/>
      <w:r>
        <w:rPr>
          <w:rFonts w:hint="eastAsia" w:ascii="宋体" w:hAnsi="宋体" w:cs="宋体"/>
          <w:bCs/>
          <w:color w:val="auto"/>
          <w:sz w:val="21"/>
          <w:szCs w:val="21"/>
          <w:highlight w:val="none"/>
        </w:rPr>
        <w:t>1.6保密</w:t>
      </w:r>
      <w:bookmarkEnd w:id="12"/>
    </w:p>
    <w:p w14:paraId="17C251F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参与招标投标活动的各方应对招标文件和投标文件中</w:t>
      </w:r>
      <w:bookmarkStart w:id="13" w:name="_Toc352691477"/>
      <w:bookmarkStart w:id="14" w:name="_Toc5326"/>
      <w:bookmarkStart w:id="15" w:name="_Toc384308214"/>
      <w:bookmarkStart w:id="16" w:name="_Toc361508589"/>
      <w:bookmarkStart w:id="17" w:name="_Toc369531519"/>
      <w:r>
        <w:rPr>
          <w:rFonts w:hint="eastAsia" w:ascii="宋体" w:hAnsi="宋体" w:cs="宋体"/>
          <w:color w:val="auto"/>
          <w:szCs w:val="21"/>
          <w:highlight w:val="none"/>
        </w:rPr>
        <w:t>的商业和技术等秘密保密</w:t>
      </w:r>
      <w:bookmarkEnd w:id="13"/>
      <w:bookmarkEnd w:id="14"/>
      <w:bookmarkEnd w:id="15"/>
      <w:bookmarkEnd w:id="16"/>
      <w:bookmarkEnd w:id="17"/>
      <w:r>
        <w:rPr>
          <w:rFonts w:hint="eastAsia" w:ascii="宋体" w:hAnsi="宋体" w:cs="宋体"/>
          <w:color w:val="auto"/>
          <w:szCs w:val="21"/>
          <w:highlight w:val="none"/>
        </w:rPr>
        <w:t>，否则应承担相应的法律责任。</w:t>
      </w:r>
    </w:p>
    <w:p w14:paraId="7076BCD5">
      <w:pPr>
        <w:pStyle w:val="4"/>
        <w:spacing w:line="430" w:lineRule="exact"/>
        <w:ind w:firstLine="103"/>
        <w:jc w:val="left"/>
        <w:rPr>
          <w:rFonts w:ascii="宋体" w:hAnsi="宋体" w:cs="宋体"/>
          <w:bCs/>
          <w:color w:val="auto"/>
          <w:sz w:val="21"/>
          <w:szCs w:val="21"/>
          <w:highlight w:val="none"/>
        </w:rPr>
      </w:pPr>
      <w:bookmarkStart w:id="18" w:name="_Toc492300360"/>
      <w:r>
        <w:rPr>
          <w:rFonts w:hint="eastAsia" w:ascii="宋体" w:hAnsi="宋体" w:cs="宋体"/>
          <w:bCs/>
          <w:color w:val="auto"/>
          <w:sz w:val="21"/>
          <w:szCs w:val="21"/>
          <w:highlight w:val="none"/>
        </w:rPr>
        <w:t>1.7 语言文字</w:t>
      </w:r>
      <w:bookmarkEnd w:id="18"/>
    </w:p>
    <w:p w14:paraId="7CBC058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招标投标文件使用的语言文字为中文。专用术语使用外文的，应附有中文注释。</w:t>
      </w:r>
    </w:p>
    <w:p w14:paraId="0CCFBA26">
      <w:pPr>
        <w:pStyle w:val="4"/>
        <w:spacing w:line="430" w:lineRule="exact"/>
        <w:ind w:firstLine="103"/>
        <w:jc w:val="left"/>
        <w:rPr>
          <w:rFonts w:ascii="宋体" w:hAnsi="宋体" w:cs="宋体"/>
          <w:bCs/>
          <w:color w:val="auto"/>
          <w:sz w:val="21"/>
          <w:szCs w:val="21"/>
          <w:highlight w:val="none"/>
        </w:rPr>
      </w:pPr>
      <w:bookmarkStart w:id="19" w:name="_Toc492300361"/>
      <w:r>
        <w:rPr>
          <w:rFonts w:hint="eastAsia" w:ascii="宋体" w:hAnsi="宋体" w:cs="宋体"/>
          <w:bCs/>
          <w:color w:val="auto"/>
          <w:sz w:val="21"/>
          <w:szCs w:val="21"/>
          <w:highlight w:val="none"/>
        </w:rPr>
        <w:t>1.8计量单位</w:t>
      </w:r>
      <w:bookmarkEnd w:id="19"/>
    </w:p>
    <w:p w14:paraId="2261B642">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4A764AC">
      <w:pPr>
        <w:pStyle w:val="4"/>
        <w:spacing w:line="430" w:lineRule="exact"/>
        <w:ind w:firstLine="103"/>
        <w:jc w:val="left"/>
        <w:rPr>
          <w:rFonts w:ascii="宋体" w:hAnsi="宋体" w:cs="宋体"/>
          <w:bCs/>
          <w:color w:val="auto"/>
          <w:sz w:val="21"/>
          <w:szCs w:val="21"/>
          <w:highlight w:val="none"/>
        </w:rPr>
      </w:pPr>
      <w:bookmarkStart w:id="20" w:name="_Toc384308219"/>
      <w:bookmarkStart w:id="21" w:name="_Toc370676289"/>
      <w:bookmarkStart w:id="22" w:name="_Toc247513962"/>
      <w:bookmarkStart w:id="23" w:name="_Toc300834959"/>
      <w:bookmarkStart w:id="24" w:name="_Toc361508594"/>
      <w:bookmarkStart w:id="25" w:name="_Toc152042315"/>
      <w:bookmarkStart w:id="26" w:name="_Toc247527563"/>
      <w:bookmarkStart w:id="27" w:name="_Toc144974507"/>
      <w:bookmarkStart w:id="28" w:name="_Toc391393967"/>
      <w:bookmarkStart w:id="29" w:name="_Toc492300362"/>
      <w:bookmarkStart w:id="30" w:name="_Toc482188480"/>
      <w:bookmarkStart w:id="31" w:name="_Toc152045539"/>
      <w:r>
        <w:rPr>
          <w:rFonts w:hint="eastAsia" w:ascii="宋体" w:hAnsi="宋体" w:cs="宋体"/>
          <w:bCs/>
          <w:color w:val="auto"/>
          <w:sz w:val="21"/>
          <w:szCs w:val="21"/>
          <w:highlight w:val="none"/>
        </w:rPr>
        <w:t>1.9 踏勘现场</w:t>
      </w:r>
      <w:bookmarkEnd w:id="20"/>
      <w:bookmarkEnd w:id="21"/>
      <w:bookmarkEnd w:id="22"/>
      <w:bookmarkEnd w:id="23"/>
      <w:bookmarkEnd w:id="24"/>
      <w:bookmarkEnd w:id="25"/>
      <w:bookmarkEnd w:id="26"/>
      <w:bookmarkEnd w:id="27"/>
      <w:bookmarkEnd w:id="28"/>
      <w:bookmarkEnd w:id="29"/>
      <w:bookmarkEnd w:id="30"/>
      <w:bookmarkEnd w:id="31"/>
    </w:p>
    <w:p w14:paraId="0C3ECB1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14:paraId="762BAC70">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44C0D62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2A6A533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74D5675">
      <w:pPr>
        <w:pStyle w:val="4"/>
        <w:spacing w:line="430" w:lineRule="exact"/>
        <w:ind w:firstLine="103"/>
        <w:jc w:val="left"/>
        <w:rPr>
          <w:rFonts w:ascii="宋体" w:hAnsi="宋体" w:cs="宋体"/>
          <w:bCs/>
          <w:color w:val="auto"/>
          <w:sz w:val="21"/>
          <w:szCs w:val="21"/>
          <w:highlight w:val="none"/>
        </w:rPr>
      </w:pPr>
      <w:bookmarkStart w:id="32" w:name="_Toc492300363"/>
      <w:r>
        <w:rPr>
          <w:rFonts w:hint="eastAsia" w:ascii="宋体" w:hAnsi="宋体" w:cs="宋体"/>
          <w:bCs/>
          <w:color w:val="auto"/>
          <w:sz w:val="21"/>
          <w:szCs w:val="21"/>
          <w:highlight w:val="none"/>
        </w:rPr>
        <w:t>1.10投标预备会</w:t>
      </w:r>
      <w:bookmarkEnd w:id="32"/>
    </w:p>
    <w:p w14:paraId="1B3F3645">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1.10.1 投标人须知前附表规定召开投标预备会的，招标人按投标人须知前附表规定的时间和地点召开投标预备会，澄清投标人提出的问题。</w:t>
      </w:r>
    </w:p>
    <w:p w14:paraId="7447A83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1.10.2 投标人应按投标人须知前附表规定的时间和形式将提出的问题送达招标人，以便招标人在会议期间澄清。</w:t>
      </w:r>
    </w:p>
    <w:p w14:paraId="6EBF7CA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1.10.3 投标预备会后，招标人将对投标人所提问题的澄清，以投标人须知前附表规定的形式通知所有购买招标文件的投标人。该澄清内容为招标文件的组成部分。</w:t>
      </w:r>
    </w:p>
    <w:p w14:paraId="0C679EB0">
      <w:pPr>
        <w:pStyle w:val="4"/>
        <w:spacing w:line="430" w:lineRule="exact"/>
        <w:ind w:firstLine="103"/>
        <w:jc w:val="left"/>
        <w:rPr>
          <w:rFonts w:ascii="宋体" w:hAnsi="宋体" w:cs="宋体"/>
          <w:bCs/>
          <w:color w:val="auto"/>
          <w:sz w:val="21"/>
          <w:szCs w:val="21"/>
          <w:highlight w:val="none"/>
        </w:rPr>
      </w:pPr>
      <w:bookmarkStart w:id="33" w:name="_Toc492300365"/>
      <w:r>
        <w:rPr>
          <w:rFonts w:hint="eastAsia" w:ascii="宋体" w:hAnsi="宋体" w:cs="宋体"/>
          <w:bCs/>
          <w:color w:val="auto"/>
          <w:sz w:val="21"/>
          <w:szCs w:val="21"/>
          <w:highlight w:val="none"/>
        </w:rPr>
        <w:t>1.11响应和偏差</w:t>
      </w:r>
      <w:bookmarkEnd w:id="33"/>
    </w:p>
    <w:p w14:paraId="18DD971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1.12.1投标文件应当对招标文件的实质性要求和条件作出满足性或更有利于招标人的响应，否则，投标人的投标将被否决。实质性要求和条件见投标人须知前附表。</w:t>
      </w:r>
    </w:p>
    <w:p w14:paraId="532200B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 投标人应根据招标文件的要求提供服务方案等内容以对招标文件作出响应。</w:t>
      </w:r>
    </w:p>
    <w:p w14:paraId="67541D3A">
      <w:pPr>
        <w:spacing w:line="430" w:lineRule="exact"/>
        <w:ind w:firstLine="435"/>
        <w:rPr>
          <w:rFonts w:ascii="宋体" w:hAnsi="宋体" w:cs="宋体"/>
          <w:color w:val="auto"/>
          <w:szCs w:val="21"/>
          <w:highlight w:val="none"/>
        </w:rPr>
      </w:pPr>
      <w:r>
        <w:rPr>
          <w:rFonts w:hint="eastAsia" w:ascii="宋体" w:hAnsi="宋体" w:cs="宋体"/>
          <w:color w:val="auto"/>
          <w:szCs w:val="21"/>
          <w:highlight w:val="none"/>
        </w:rPr>
        <w:t>1.12.3投标人须知前附表允许投标文件偏离招标文件某些要求的，偏差应当符合招标文件规定的偏差范围和幅度。</w:t>
      </w:r>
    </w:p>
    <w:p w14:paraId="141E3936">
      <w:pPr>
        <w:pStyle w:val="3"/>
        <w:spacing w:line="430" w:lineRule="exact"/>
        <w:rPr>
          <w:rFonts w:ascii="宋体" w:hAnsi="宋体" w:eastAsia="宋体" w:cs="宋体"/>
          <w:color w:val="auto"/>
          <w:sz w:val="21"/>
          <w:szCs w:val="21"/>
          <w:highlight w:val="none"/>
        </w:rPr>
      </w:pPr>
      <w:bookmarkStart w:id="34" w:name="_Toc492300366"/>
      <w:r>
        <w:rPr>
          <w:rFonts w:hint="eastAsia" w:ascii="宋体" w:hAnsi="宋体" w:eastAsia="宋体" w:cs="宋体"/>
          <w:color w:val="auto"/>
          <w:sz w:val="21"/>
          <w:szCs w:val="21"/>
          <w:highlight w:val="none"/>
        </w:rPr>
        <w:t>2. 招标文件</w:t>
      </w:r>
      <w:bookmarkEnd w:id="34"/>
    </w:p>
    <w:p w14:paraId="4A08414A">
      <w:pPr>
        <w:pStyle w:val="4"/>
        <w:spacing w:line="430" w:lineRule="exact"/>
        <w:ind w:firstLine="103"/>
        <w:jc w:val="left"/>
        <w:rPr>
          <w:rFonts w:ascii="宋体" w:hAnsi="宋体" w:cs="宋体"/>
          <w:color w:val="auto"/>
          <w:sz w:val="21"/>
          <w:szCs w:val="21"/>
          <w:highlight w:val="none"/>
        </w:rPr>
      </w:pPr>
      <w:bookmarkStart w:id="35" w:name="_Toc492300367"/>
      <w:r>
        <w:rPr>
          <w:rFonts w:hint="eastAsia" w:ascii="宋体" w:hAnsi="宋体" w:cs="宋体"/>
          <w:color w:val="auto"/>
          <w:sz w:val="21"/>
          <w:szCs w:val="21"/>
          <w:highlight w:val="none"/>
        </w:rPr>
        <w:t>2.1 招标文件的组成</w:t>
      </w:r>
      <w:bookmarkEnd w:id="35"/>
    </w:p>
    <w:p w14:paraId="0D7F21F0">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本招标文件包括：</w:t>
      </w:r>
    </w:p>
    <w:p w14:paraId="3952F868">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（1）招标公告；</w:t>
      </w:r>
    </w:p>
    <w:p w14:paraId="7CAB0D76">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（2）投标人须知；</w:t>
      </w:r>
    </w:p>
    <w:p w14:paraId="2F9F91FE">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（3）评标办法；</w:t>
      </w:r>
    </w:p>
    <w:p w14:paraId="4A421A8B">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（4）合同条款及格式；</w:t>
      </w:r>
    </w:p>
    <w:p w14:paraId="179F0AEB">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w:t>
      </w:r>
    </w:p>
    <w:p w14:paraId="35A1B90A">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（6）投标文件格式；</w:t>
      </w:r>
    </w:p>
    <w:p w14:paraId="6E74C5C5">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（7）投标人须知前附表规定的其他资料。</w:t>
      </w:r>
    </w:p>
    <w:p w14:paraId="2BB7788B">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根据本章第1.10款、第2.2款和第2.3款对招标文件所作的澄清、修改，构成招标文件的组成部分。</w:t>
      </w:r>
    </w:p>
    <w:p w14:paraId="72866D33">
      <w:pPr>
        <w:pStyle w:val="4"/>
        <w:spacing w:line="430" w:lineRule="exact"/>
        <w:ind w:firstLine="103"/>
        <w:jc w:val="left"/>
        <w:rPr>
          <w:rFonts w:ascii="宋体" w:hAnsi="宋体" w:cs="宋体"/>
          <w:bCs/>
          <w:color w:val="auto"/>
          <w:sz w:val="21"/>
          <w:szCs w:val="21"/>
          <w:highlight w:val="none"/>
        </w:rPr>
      </w:pPr>
      <w:bookmarkStart w:id="36" w:name="_Toc492300368"/>
      <w:r>
        <w:rPr>
          <w:rFonts w:hint="eastAsia" w:ascii="宋体" w:hAnsi="宋体" w:cs="宋体"/>
          <w:bCs/>
          <w:color w:val="auto"/>
          <w:sz w:val="21"/>
          <w:szCs w:val="21"/>
          <w:highlight w:val="none"/>
        </w:rPr>
        <w:t>2.2 招标文件的澄清</w:t>
      </w:r>
      <w:bookmarkEnd w:id="36"/>
    </w:p>
    <w:p w14:paraId="6ADD28B5">
      <w:pPr>
        <w:widowControl/>
        <w:numPr>
          <w:ilvl w:val="1"/>
          <w:numId w:val="7"/>
        </w:numPr>
        <w:tabs>
          <w:tab w:val="left" w:pos="946"/>
        </w:tabs>
        <w:spacing w:line="360" w:lineRule="auto"/>
        <w:ind w:firstLine="420"/>
        <w:rPr>
          <w:rFonts w:ascii="宋体" w:hAnsi="宋体" w:cs="宋体"/>
          <w:color w:val="auto"/>
          <w:highlight w:val="none"/>
        </w:rPr>
      </w:pPr>
      <w:bookmarkStart w:id="37" w:name="_Toc492300369"/>
      <w:bookmarkStart w:id="38" w:name="_Toc352691479"/>
      <w:r>
        <w:rPr>
          <w:rFonts w:hint="eastAsia" w:ascii="宋体" w:hAnsi="宋体" w:cs="宋体"/>
          <w:color w:val="auto"/>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0124CA5">
      <w:pPr>
        <w:widowControl/>
        <w:tabs>
          <w:tab w:val="left" w:pos="893"/>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2.2.2招标文件的澄清以投标人须知前附表规定的形式发给所有购买招标文件的投标人，但不指明澄清问题的来源。澄清发出的时间距本章第 4.2.1 项规定的投标截止时间不足</w:t>
      </w:r>
      <w:r>
        <w:rPr>
          <w:rFonts w:hint="eastAsia" w:ascii="宋体" w:hAnsi="宋体" w:cs="宋体"/>
          <w:color w:val="auto"/>
          <w:highlight w:val="none"/>
          <w:lang w:val="en-US" w:eastAsia="zh-CN"/>
        </w:rPr>
        <w:t>1</w:t>
      </w:r>
      <w:r>
        <w:rPr>
          <w:rFonts w:hint="eastAsia" w:ascii="宋体" w:hAnsi="宋体" w:cs="宋体"/>
          <w:color w:val="auto"/>
          <w:highlight w:val="none"/>
        </w:rPr>
        <w:t>日的，并且澄清内容可能影响投标文件编制的，将相应延长投标截止时间。</w:t>
      </w:r>
    </w:p>
    <w:p w14:paraId="30C801DB">
      <w:pPr>
        <w:widowControl/>
        <w:numPr>
          <w:ilvl w:val="1"/>
          <w:numId w:val="8"/>
        </w:numPr>
        <w:tabs>
          <w:tab w:val="left" w:pos="946"/>
        </w:tabs>
        <w:spacing w:line="360" w:lineRule="auto"/>
        <w:ind w:firstLine="420"/>
        <w:rPr>
          <w:rFonts w:ascii="宋体" w:hAnsi="宋体" w:cs="宋体"/>
          <w:color w:val="auto"/>
          <w:highlight w:val="none"/>
        </w:rPr>
      </w:pPr>
      <w:r>
        <w:rPr>
          <w:rFonts w:hint="eastAsia" w:ascii="宋体" w:hAnsi="宋体" w:cs="宋体"/>
          <w:color w:val="auto"/>
          <w:highlight w:val="none"/>
        </w:rPr>
        <w:t>投标人在收到澄清后，应按投标人须知前附表规定的时间和形式通知招标人，确认已收到该澄清。</w:t>
      </w:r>
    </w:p>
    <w:p w14:paraId="3F34BDA6">
      <w:pPr>
        <w:widowControl/>
        <w:numPr>
          <w:ilvl w:val="1"/>
          <w:numId w:val="8"/>
        </w:numPr>
        <w:tabs>
          <w:tab w:val="left" w:pos="946"/>
        </w:tabs>
        <w:spacing w:line="360" w:lineRule="auto"/>
        <w:ind w:firstLine="420"/>
        <w:rPr>
          <w:rFonts w:ascii="宋体" w:hAnsi="宋体" w:cs="宋体"/>
          <w:color w:val="auto"/>
          <w:highlight w:val="none"/>
        </w:rPr>
      </w:pPr>
      <w:r>
        <w:rPr>
          <w:rFonts w:hint="eastAsia" w:ascii="宋体" w:hAnsi="宋体" w:cs="宋体"/>
          <w:color w:val="auto"/>
          <w:highlight w:val="none"/>
        </w:rPr>
        <w:t>除非招标人认为确有必要答复，否则，招标人有权拒绝回复投标人在本章第 2.2.1 项规定的时间后的任何澄清要求。</w:t>
      </w:r>
    </w:p>
    <w:p w14:paraId="3D0B96CC">
      <w:pPr>
        <w:pStyle w:val="4"/>
        <w:spacing w:line="430" w:lineRule="exact"/>
        <w:ind w:firstLine="103"/>
        <w:jc w:val="left"/>
        <w:rPr>
          <w:rFonts w:ascii="宋体" w:hAnsi="宋体" w:cs="宋体"/>
          <w:bCs/>
          <w:color w:val="auto"/>
          <w:sz w:val="21"/>
          <w:szCs w:val="21"/>
          <w:highlight w:val="none"/>
        </w:rPr>
      </w:pPr>
      <w:r>
        <w:rPr>
          <w:rFonts w:hint="eastAsia" w:ascii="宋体" w:hAnsi="宋体" w:cs="宋体"/>
          <w:bCs/>
          <w:color w:val="auto"/>
          <w:sz w:val="21"/>
          <w:szCs w:val="21"/>
          <w:highlight w:val="none"/>
        </w:rPr>
        <w:t>2.3 招标文件的修</w:t>
      </w:r>
      <w:bookmarkStart w:id="39" w:name="_Toc369531521"/>
      <w:bookmarkStart w:id="40" w:name="_Toc16514"/>
      <w:r>
        <w:rPr>
          <w:rFonts w:hint="eastAsia" w:ascii="宋体" w:hAnsi="宋体" w:cs="宋体"/>
          <w:bCs/>
          <w:color w:val="auto"/>
          <w:sz w:val="21"/>
          <w:szCs w:val="21"/>
          <w:highlight w:val="none"/>
        </w:rPr>
        <w:t>改</w:t>
      </w:r>
      <w:bookmarkEnd w:id="37"/>
    </w:p>
    <w:bookmarkEnd w:id="38"/>
    <w:bookmarkEnd w:id="39"/>
    <w:bookmarkEnd w:id="40"/>
    <w:p w14:paraId="60706452">
      <w:pPr>
        <w:spacing w:line="430" w:lineRule="exact"/>
        <w:ind w:firstLine="420" w:firstLineChars="200"/>
        <w:rPr>
          <w:rFonts w:hint="eastAsia" w:ascii="宋体" w:hAnsi="宋体" w:eastAsia="宋体" w:cs="宋体"/>
          <w:color w:val="auto"/>
          <w:szCs w:val="21"/>
          <w:highlight w:val="none"/>
        </w:rPr>
      </w:pPr>
      <w:bookmarkStart w:id="41" w:name="_Toc300834960"/>
      <w:bookmarkStart w:id="42" w:name="_Toc152042316"/>
      <w:bookmarkStart w:id="43" w:name="_Toc352691484"/>
      <w:bookmarkStart w:id="44" w:name="_Toc152045540"/>
      <w:bookmarkStart w:id="45" w:name="_Toc369531526"/>
      <w:bookmarkStart w:id="46" w:name="_Toc247527564"/>
      <w:bookmarkStart w:id="47" w:name="_Toc247513963"/>
      <w:bookmarkStart w:id="48" w:name="_Toc16623"/>
      <w:bookmarkStart w:id="49" w:name="_Toc144974508"/>
      <w:bookmarkStart w:id="50" w:name="_Toc361508595"/>
      <w:bookmarkStart w:id="51" w:name="_Toc384308220"/>
      <w:bookmarkStart w:id="52" w:name="_Toc492300370"/>
      <w:r>
        <w:rPr>
          <w:rFonts w:hint="eastAsia" w:ascii="宋体" w:hAnsi="宋体" w:eastAsia="宋体" w:cs="宋体"/>
          <w:color w:val="auto"/>
          <w:szCs w:val="21"/>
          <w:highlight w:val="none"/>
        </w:rPr>
        <w:t>2.3.1在投标截止时间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日前，招标人可以修改招标文件，并通过招标公告发布平台上发出澄清公告</w:t>
      </w:r>
    </w:p>
    <w:p w14:paraId="2DBE29C4">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修改招标文件的时间距本章第4.2.1项规定的投标截止时间不足</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日的，将相应延长投标截止时间。</w:t>
      </w:r>
    </w:p>
    <w:p w14:paraId="783A0113">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 开标前，投标人应自行在交易平台查看项目相关信息。</w:t>
      </w:r>
    </w:p>
    <w:p w14:paraId="5889FB1F">
      <w:pPr>
        <w:pStyle w:val="4"/>
        <w:spacing w:line="430" w:lineRule="exact"/>
        <w:ind w:firstLine="103"/>
        <w:jc w:val="left"/>
        <w:rPr>
          <w:rFonts w:ascii="宋体" w:hAnsi="宋体" w:cs="宋体"/>
          <w:bCs/>
          <w:color w:val="auto"/>
          <w:sz w:val="21"/>
          <w:szCs w:val="21"/>
          <w:highlight w:val="none"/>
        </w:rPr>
      </w:pPr>
      <w:r>
        <w:rPr>
          <w:rFonts w:hint="eastAsia" w:ascii="宋体" w:hAnsi="宋体" w:cs="宋体"/>
          <w:bCs/>
          <w:color w:val="auto"/>
          <w:sz w:val="21"/>
          <w:szCs w:val="21"/>
          <w:highlight w:val="none"/>
        </w:rPr>
        <w:t>2.</w:t>
      </w:r>
      <w:bookmarkEnd w:id="41"/>
      <w:bookmarkEnd w:id="42"/>
      <w:bookmarkEnd w:id="43"/>
      <w:bookmarkEnd w:id="44"/>
      <w:bookmarkEnd w:id="45"/>
      <w:bookmarkEnd w:id="46"/>
      <w:bookmarkEnd w:id="47"/>
      <w:bookmarkEnd w:id="48"/>
      <w:bookmarkEnd w:id="49"/>
      <w:bookmarkEnd w:id="50"/>
      <w:bookmarkEnd w:id="51"/>
      <w:r>
        <w:rPr>
          <w:rFonts w:hint="eastAsia" w:ascii="宋体" w:hAnsi="宋体" w:cs="宋体"/>
          <w:bCs/>
          <w:color w:val="auto"/>
          <w:sz w:val="21"/>
          <w:szCs w:val="21"/>
          <w:highlight w:val="none"/>
        </w:rPr>
        <w:t>4 招标文件的异议</w:t>
      </w:r>
      <w:bookmarkEnd w:id="52"/>
    </w:p>
    <w:p w14:paraId="2C5575FE">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投标人或者其他利害关系人对招标文件有异议的，应当在投标截止时间</w:t>
      </w:r>
      <w:r>
        <w:rPr>
          <w:rFonts w:hint="eastAsia" w:ascii="宋体" w:hAnsi="宋体" w:cs="宋体"/>
          <w:color w:val="auto"/>
          <w:szCs w:val="21"/>
          <w:highlight w:val="none"/>
          <w:lang w:val="en-US" w:eastAsia="zh-CN"/>
        </w:rPr>
        <w:t>1日之前（不含1日）</w:t>
      </w:r>
      <w:r>
        <w:rPr>
          <w:rFonts w:hint="eastAsia" w:ascii="宋体" w:hAnsi="宋体" w:cs="宋体"/>
          <w:color w:val="auto"/>
          <w:szCs w:val="21"/>
          <w:highlight w:val="none"/>
        </w:rPr>
        <w:t>以书面形式提出。招标人将在收到异议之日起3日内作出答复；作出答复前，将暂停招标投标活动。</w:t>
      </w:r>
    </w:p>
    <w:p w14:paraId="36B5C1AE">
      <w:pPr>
        <w:pStyle w:val="3"/>
        <w:spacing w:line="430" w:lineRule="exact"/>
        <w:rPr>
          <w:rFonts w:ascii="宋体" w:hAnsi="宋体" w:eastAsia="宋体" w:cs="宋体"/>
          <w:color w:val="auto"/>
          <w:sz w:val="21"/>
          <w:szCs w:val="21"/>
          <w:highlight w:val="none"/>
        </w:rPr>
      </w:pPr>
      <w:bookmarkStart w:id="53" w:name="_Toc492300371"/>
      <w:r>
        <w:rPr>
          <w:rFonts w:hint="eastAsia" w:ascii="宋体" w:hAnsi="宋体" w:eastAsia="宋体" w:cs="宋体"/>
          <w:color w:val="auto"/>
          <w:sz w:val="21"/>
          <w:szCs w:val="21"/>
          <w:highlight w:val="none"/>
        </w:rPr>
        <w:t>3. 投标文件</w:t>
      </w:r>
      <w:bookmarkEnd w:id="53"/>
    </w:p>
    <w:p w14:paraId="1E65EDBE">
      <w:pPr>
        <w:pStyle w:val="4"/>
        <w:spacing w:line="430" w:lineRule="exact"/>
        <w:ind w:firstLine="103"/>
        <w:jc w:val="left"/>
        <w:rPr>
          <w:rFonts w:hint="eastAsia" w:ascii="宋体" w:hAnsi="宋体" w:eastAsia="宋体" w:cs="宋体"/>
          <w:color w:val="auto"/>
          <w:sz w:val="21"/>
          <w:szCs w:val="21"/>
          <w:highlight w:val="none"/>
          <w:lang w:eastAsia="zh-CN"/>
        </w:rPr>
      </w:pPr>
      <w:bookmarkStart w:id="54" w:name="_Toc492300372"/>
      <w:r>
        <w:rPr>
          <w:rFonts w:hint="eastAsia" w:ascii="宋体" w:hAnsi="宋体" w:cs="宋体"/>
          <w:color w:val="auto"/>
          <w:sz w:val="21"/>
          <w:szCs w:val="21"/>
          <w:highlight w:val="none"/>
        </w:rPr>
        <w:t>3.1 投标文件的组成</w:t>
      </w:r>
      <w:bookmarkEnd w:id="54"/>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以投标文件格式为准</w:t>
      </w:r>
      <w:r>
        <w:rPr>
          <w:rFonts w:hint="eastAsia" w:ascii="宋体" w:hAnsi="宋体" w:cs="宋体"/>
          <w:color w:val="auto"/>
          <w:sz w:val="21"/>
          <w:szCs w:val="21"/>
          <w:highlight w:val="none"/>
          <w:lang w:eastAsia="zh-CN"/>
        </w:rPr>
        <w:t>）</w:t>
      </w:r>
    </w:p>
    <w:p w14:paraId="52BE81B2">
      <w:pPr>
        <w:spacing w:line="430" w:lineRule="exact"/>
        <w:rPr>
          <w:rFonts w:ascii="宋体" w:hAnsi="宋体" w:cs="宋体"/>
          <w:color w:val="auto"/>
          <w:szCs w:val="21"/>
          <w:highlight w:val="none"/>
        </w:rPr>
      </w:pPr>
      <w:r>
        <w:rPr>
          <w:rFonts w:hint="eastAsia" w:ascii="宋体" w:hAnsi="宋体" w:cs="宋体"/>
          <w:color w:val="auto"/>
          <w:szCs w:val="21"/>
          <w:highlight w:val="none"/>
        </w:rPr>
        <w:t>　　3.1.1 投标文件应包括下列内容：</w:t>
      </w:r>
    </w:p>
    <w:p w14:paraId="39C798FF">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投标函及投标函附录</w:t>
      </w:r>
    </w:p>
    <w:p w14:paraId="3F42BE76">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w:t>
      </w:r>
    </w:p>
    <w:p w14:paraId="22E16EB8">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w:t>
      </w:r>
    </w:p>
    <w:p w14:paraId="1CA8EC75">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联合体协议书</w:t>
      </w:r>
    </w:p>
    <w:p w14:paraId="7EF7852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w:t>
      </w:r>
    </w:p>
    <w:p w14:paraId="39B62883">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分项报价表</w:t>
      </w:r>
    </w:p>
    <w:p w14:paraId="7640392D">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资格证明材料</w:t>
      </w:r>
    </w:p>
    <w:p w14:paraId="2F720D7D">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技术部分</w:t>
      </w:r>
    </w:p>
    <w:p w14:paraId="4A9402F7">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技术规范偏离表</w:t>
      </w:r>
    </w:p>
    <w:p w14:paraId="4D7030D0">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无行贿犯罪记录和未被列入失信被执行人名单承诺书</w:t>
      </w:r>
    </w:p>
    <w:p w14:paraId="44FB4D6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履约能力承诺</w:t>
      </w:r>
    </w:p>
    <w:p w14:paraId="61D89261">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投标人须知前附表规定的其他资料。</w:t>
      </w:r>
    </w:p>
    <w:p w14:paraId="491FFC4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投标人在评标过程中作出的符合法律法规和招标文件规定的澄清确认，构成投标文件的组成部分。</w:t>
      </w:r>
    </w:p>
    <w:p w14:paraId="5644E2A8">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3.1.2 投标人须知前附表规定不接受联合体投标的，或投标人没有组成联合体的，投标文件不包括本章第3.1.1（3）目所指的联合体协议书。</w:t>
      </w:r>
    </w:p>
    <w:p w14:paraId="0B754C76">
      <w:pPr>
        <w:spacing w:line="43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3.1.3 投标人须知前附表未要求提交投标保证金的，投标文件不包括本章第3.1.1（4）目所指的投标保证金。</w:t>
      </w:r>
    </w:p>
    <w:p w14:paraId="2E4D13AF">
      <w:pPr>
        <w:pStyle w:val="4"/>
        <w:spacing w:line="430" w:lineRule="exact"/>
        <w:ind w:firstLine="103"/>
        <w:jc w:val="left"/>
        <w:rPr>
          <w:rFonts w:ascii="宋体" w:hAnsi="宋体" w:cs="宋体"/>
          <w:bCs/>
          <w:color w:val="auto"/>
          <w:sz w:val="21"/>
          <w:szCs w:val="21"/>
          <w:highlight w:val="none"/>
        </w:rPr>
      </w:pPr>
      <w:bookmarkStart w:id="55" w:name="_Toc492300373"/>
      <w:r>
        <w:rPr>
          <w:rFonts w:hint="eastAsia" w:ascii="宋体" w:hAnsi="宋体" w:cs="宋体"/>
          <w:bCs/>
          <w:color w:val="auto"/>
          <w:sz w:val="21"/>
          <w:szCs w:val="21"/>
          <w:highlight w:val="none"/>
        </w:rPr>
        <w:t>3.2 投标报价</w:t>
      </w:r>
      <w:bookmarkEnd w:id="55"/>
    </w:p>
    <w:p w14:paraId="2B7E6CA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w:t>
      </w:r>
    </w:p>
    <w:p w14:paraId="60F4097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 投标人应充分了解该项目的总体情况以及影响投标报价的其他要素。</w:t>
      </w:r>
    </w:p>
    <w:p w14:paraId="66F2D1A6">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3.2.3</w:t>
      </w:r>
      <w:bookmarkStart w:id="56" w:name="_Toc384308224"/>
      <w:bookmarkEnd w:id="56"/>
      <w:bookmarkStart w:id="57" w:name="_Toc369531530"/>
      <w:bookmarkEnd w:id="57"/>
      <w:bookmarkStart w:id="58" w:name="_Toc247527568"/>
      <w:bookmarkEnd w:id="58"/>
      <w:bookmarkStart w:id="59" w:name="_Toc352691487"/>
      <w:bookmarkEnd w:id="59"/>
      <w:bookmarkStart w:id="60" w:name="_Toc361508599"/>
      <w:bookmarkEnd w:id="60"/>
      <w:bookmarkStart w:id="61" w:name="_Toc152045543"/>
      <w:bookmarkEnd w:id="61"/>
      <w:bookmarkStart w:id="62" w:name="_Toc144974511"/>
      <w:bookmarkEnd w:id="62"/>
      <w:bookmarkStart w:id="63" w:name="_Toc152042319"/>
      <w:bookmarkEnd w:id="63"/>
      <w:bookmarkStart w:id="64" w:name="_Toc300834964"/>
      <w:bookmarkEnd w:id="64"/>
      <w:bookmarkStart w:id="65" w:name="_Toc15242"/>
      <w:bookmarkEnd w:id="65"/>
      <w:bookmarkStart w:id="66" w:name="_Toc247513967"/>
      <w:bookmarkEnd w:id="66"/>
      <w:r>
        <w:rPr>
          <w:rFonts w:hint="eastAsia" w:ascii="宋体" w:hAnsi="宋体" w:cs="宋体"/>
          <w:color w:val="auto"/>
          <w:szCs w:val="21"/>
          <w:highlight w:val="none"/>
        </w:rPr>
        <w:t xml:space="preserve"> 本项目的报价方式见投标人须知前附表。</w:t>
      </w:r>
    </w:p>
    <w:p w14:paraId="47666B5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3.2.4 招标人设有最高投标限价的，投标人的投标报价不得超过最高投标限价，最高投标限价在投标</w:t>
      </w:r>
      <w:bookmarkStart w:id="67" w:name="_Toc361508600"/>
      <w:bookmarkStart w:id="68" w:name="_Toc369531531"/>
      <w:bookmarkStart w:id="69" w:name="_Toc152045544"/>
      <w:bookmarkStart w:id="70" w:name="_Toc384308225"/>
      <w:bookmarkStart w:id="71" w:name="_Toc247513968"/>
      <w:bookmarkStart w:id="72" w:name="_Toc144974512"/>
      <w:bookmarkStart w:id="73" w:name="_Toc300834965"/>
      <w:bookmarkStart w:id="74" w:name="_Toc10429"/>
      <w:bookmarkStart w:id="75" w:name="_Toc352691488"/>
      <w:bookmarkStart w:id="76" w:name="_Toc152042320"/>
      <w:bookmarkStart w:id="77" w:name="_Toc247527569"/>
      <w:r>
        <w:rPr>
          <w:rFonts w:hint="eastAsia" w:ascii="宋体" w:hAnsi="宋体" w:cs="宋体"/>
          <w:color w:val="auto"/>
          <w:szCs w:val="21"/>
          <w:highlight w:val="none"/>
        </w:rPr>
        <w:t>人须知前附表中载明。</w:t>
      </w:r>
      <w:bookmarkEnd w:id="67"/>
      <w:bookmarkEnd w:id="68"/>
      <w:bookmarkEnd w:id="69"/>
      <w:bookmarkEnd w:id="70"/>
      <w:bookmarkEnd w:id="71"/>
      <w:bookmarkEnd w:id="72"/>
      <w:bookmarkEnd w:id="73"/>
      <w:bookmarkEnd w:id="74"/>
      <w:bookmarkEnd w:id="75"/>
      <w:bookmarkEnd w:id="76"/>
      <w:bookmarkEnd w:id="77"/>
    </w:p>
    <w:p w14:paraId="0E59D7E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3.2.5 投标报价的其他要求见投标人须知前附表。</w:t>
      </w:r>
    </w:p>
    <w:p w14:paraId="1D182601">
      <w:pPr>
        <w:pStyle w:val="4"/>
        <w:spacing w:line="430" w:lineRule="exact"/>
        <w:ind w:firstLine="103"/>
        <w:jc w:val="left"/>
        <w:rPr>
          <w:rFonts w:ascii="宋体" w:hAnsi="宋体" w:cs="宋体"/>
          <w:bCs/>
          <w:color w:val="auto"/>
          <w:sz w:val="21"/>
          <w:szCs w:val="21"/>
          <w:highlight w:val="none"/>
        </w:rPr>
      </w:pPr>
      <w:bookmarkStart w:id="78" w:name="_Toc492300374"/>
      <w:r>
        <w:rPr>
          <w:rFonts w:hint="eastAsia" w:ascii="宋体" w:hAnsi="宋体" w:cs="宋体"/>
          <w:bCs/>
          <w:color w:val="auto"/>
          <w:sz w:val="21"/>
          <w:szCs w:val="21"/>
          <w:highlight w:val="none"/>
        </w:rPr>
        <w:t>3.3 投标有效期</w:t>
      </w:r>
      <w:bookmarkEnd w:id="78"/>
    </w:p>
    <w:p w14:paraId="12D7151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15B8AA5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 在投标有效期内，投标人撤销投标文件的，应承担招标文件和法律规定的责任。</w:t>
      </w:r>
    </w:p>
    <w:p w14:paraId="5DC42A3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E4A018C">
      <w:pPr>
        <w:pStyle w:val="4"/>
        <w:spacing w:line="430" w:lineRule="exact"/>
        <w:ind w:firstLine="103"/>
        <w:jc w:val="left"/>
        <w:rPr>
          <w:rFonts w:ascii="宋体" w:hAnsi="宋体" w:cs="宋体"/>
          <w:bCs/>
          <w:color w:val="auto"/>
          <w:sz w:val="21"/>
          <w:szCs w:val="21"/>
          <w:highlight w:val="none"/>
        </w:rPr>
      </w:pPr>
      <w:bookmarkStart w:id="79" w:name="_Toc492300375"/>
      <w:r>
        <w:rPr>
          <w:rFonts w:hint="eastAsia" w:ascii="宋体" w:hAnsi="宋体" w:cs="宋体"/>
          <w:bCs/>
          <w:color w:val="auto"/>
          <w:sz w:val="21"/>
          <w:szCs w:val="21"/>
          <w:highlight w:val="none"/>
        </w:rPr>
        <w:t>3.4 投标保证金</w:t>
      </w:r>
      <w:bookmarkEnd w:id="79"/>
    </w:p>
    <w:p w14:paraId="766DF270">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投标人在递交投标文件的同时，应按投标人须知前附表规定的金额</w:t>
      </w:r>
      <w:bookmarkStart w:id="80" w:name="_Toc144974513"/>
      <w:bookmarkStart w:id="81" w:name="_Toc247527570"/>
      <w:bookmarkStart w:id="82" w:name="_Toc384308226"/>
      <w:bookmarkStart w:id="83" w:name="_Toc4592"/>
      <w:bookmarkStart w:id="84" w:name="_Toc247513969"/>
      <w:bookmarkStart w:id="85" w:name="_Toc361508601"/>
      <w:bookmarkStart w:id="86" w:name="_Toc300834966"/>
      <w:bookmarkStart w:id="87" w:name="_Toc369531532"/>
      <w:bookmarkStart w:id="88" w:name="_Toc152045545"/>
      <w:bookmarkStart w:id="89" w:name="_Toc152042321"/>
      <w:bookmarkStart w:id="90" w:name="_Toc352691489"/>
      <w:r>
        <w:rPr>
          <w:rFonts w:hint="eastAsia" w:ascii="宋体" w:hAnsi="宋体" w:cs="宋体"/>
          <w:color w:val="auto"/>
          <w:szCs w:val="21"/>
          <w:highlight w:val="none"/>
        </w:rPr>
        <w:t>、形式和第六章“投标文</w:t>
      </w:r>
      <w:bookmarkEnd w:id="80"/>
      <w:bookmarkEnd w:id="81"/>
      <w:bookmarkEnd w:id="82"/>
      <w:bookmarkEnd w:id="83"/>
      <w:bookmarkEnd w:id="84"/>
      <w:bookmarkEnd w:id="85"/>
      <w:bookmarkEnd w:id="86"/>
      <w:bookmarkEnd w:id="87"/>
      <w:bookmarkEnd w:id="88"/>
      <w:bookmarkEnd w:id="89"/>
      <w:bookmarkEnd w:id="90"/>
      <w:r>
        <w:rPr>
          <w:rFonts w:hint="eastAsia" w:ascii="宋体" w:hAnsi="宋体" w:cs="宋体"/>
          <w:color w:val="auto"/>
          <w:szCs w:val="21"/>
          <w:highlight w:val="none"/>
        </w:rPr>
        <w:t>件格式”规定的投标保证金格式递交投标保证金，并作为其投标文件的组成部分。联合体投标的，其投标保证金可以由牵头人递交，并应符合投标人须知前附表的规定。</w:t>
      </w:r>
    </w:p>
    <w:p w14:paraId="03E9F4BF">
      <w:pPr>
        <w:spacing w:line="43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w:t>
      </w:r>
      <w:bookmarkStart w:id="91" w:name="_Toc29025"/>
      <w:bookmarkStart w:id="92" w:name="_Toc369531533"/>
      <w:bookmarkStart w:id="93" w:name="_Toc352691490"/>
      <w:bookmarkStart w:id="94" w:name="_Toc384308227"/>
      <w:bookmarkStart w:id="95" w:name="_Toc361508602"/>
      <w:r>
        <w:rPr>
          <w:rFonts w:hint="eastAsia" w:ascii="宋体" w:hAnsi="宋体" w:cs="宋体"/>
          <w:color w:val="auto"/>
          <w:szCs w:val="21"/>
          <w:highlight w:val="none"/>
        </w:rPr>
        <w:t>要求提交投标保证金的，</w:t>
      </w:r>
      <w:bookmarkEnd w:id="91"/>
      <w:bookmarkEnd w:id="92"/>
      <w:bookmarkEnd w:id="93"/>
      <w:bookmarkEnd w:id="94"/>
      <w:bookmarkEnd w:id="95"/>
      <w:r>
        <w:rPr>
          <w:rFonts w:hint="eastAsia" w:ascii="宋体" w:hAnsi="宋体" w:cs="宋体"/>
          <w:color w:val="auto"/>
          <w:szCs w:val="21"/>
          <w:highlight w:val="none"/>
        </w:rPr>
        <w:t>评标委员会将否决其投标。</w:t>
      </w:r>
    </w:p>
    <w:p w14:paraId="343784A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3.4.3 </w:t>
      </w:r>
      <w:r>
        <w:rPr>
          <w:rFonts w:hint="eastAsia"/>
          <w:b/>
          <w:bCs/>
          <w:color w:val="auto"/>
          <w:highlight w:val="none"/>
        </w:rPr>
        <w:t>未中标投标人的投标保证金，在中标通知书发出之日起5日内原路全额退还。中标投标人的投标保证金，在中标合同签订后5日内原路全额退还。</w:t>
      </w:r>
    </w:p>
    <w:p w14:paraId="00E7978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3.4.4 有下列情形之一的，投标保证金将不予退还：</w:t>
      </w:r>
    </w:p>
    <w:p w14:paraId="4E0B7D93">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w:t>
      </w:r>
    </w:p>
    <w:p w14:paraId="09A90A2C">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（2）中标人在收到中标通知书后，无正当理由不与招标人订立合同，在签订合同时向招标人提出附加条件，或者不按照招标文件要求提交履约保证金；</w:t>
      </w:r>
    </w:p>
    <w:p w14:paraId="59DEE0F5">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（3）发生投标人须知前附表规定的其他可以不予退还投标保证金的情形。</w:t>
      </w:r>
    </w:p>
    <w:p w14:paraId="7F51148B">
      <w:pPr>
        <w:pStyle w:val="4"/>
        <w:spacing w:line="430" w:lineRule="exact"/>
        <w:ind w:firstLine="103"/>
        <w:jc w:val="left"/>
        <w:rPr>
          <w:rFonts w:ascii="宋体" w:hAnsi="宋体" w:cs="宋体"/>
          <w:bCs/>
          <w:color w:val="auto"/>
          <w:sz w:val="21"/>
          <w:szCs w:val="21"/>
          <w:highlight w:val="none"/>
        </w:rPr>
      </w:pPr>
      <w:bookmarkStart w:id="96" w:name="_Toc492300376"/>
      <w:r>
        <w:rPr>
          <w:rFonts w:hint="eastAsia" w:ascii="宋体" w:hAnsi="宋体" w:cs="宋体"/>
          <w:bCs/>
          <w:color w:val="auto"/>
          <w:sz w:val="21"/>
          <w:szCs w:val="21"/>
          <w:highlight w:val="none"/>
        </w:rPr>
        <w:t xml:space="preserve">3.5 </w:t>
      </w:r>
      <w:bookmarkEnd w:id="96"/>
      <w:bookmarkStart w:id="97" w:name="_Toc492300377"/>
      <w:r>
        <w:rPr>
          <w:rFonts w:hint="eastAsia" w:ascii="宋体" w:hAnsi="宋体" w:cs="宋体"/>
          <w:bCs/>
          <w:color w:val="auto"/>
          <w:sz w:val="21"/>
          <w:szCs w:val="21"/>
          <w:highlight w:val="none"/>
        </w:rPr>
        <w:t>资格审查资料</w:t>
      </w:r>
      <w:bookmarkEnd w:id="97"/>
    </w:p>
    <w:p w14:paraId="4F224C5F">
      <w:pPr>
        <w:spacing w:line="430" w:lineRule="exact"/>
        <w:ind w:firstLine="420" w:firstLineChars="200"/>
        <w:rPr>
          <w:color w:val="auto"/>
          <w:highlight w:val="none"/>
        </w:rPr>
      </w:pPr>
      <w:r>
        <w:rPr>
          <w:rFonts w:hint="eastAsia" w:ascii="宋体" w:hAnsi="宋体" w:cs="宋体"/>
          <w:color w:val="auto"/>
          <w:szCs w:val="21"/>
          <w:highlight w:val="none"/>
        </w:rPr>
        <w:t>详见投标人须知前附表。</w:t>
      </w:r>
    </w:p>
    <w:p w14:paraId="33276620">
      <w:pPr>
        <w:pStyle w:val="4"/>
        <w:spacing w:line="430" w:lineRule="exact"/>
        <w:ind w:firstLine="103"/>
        <w:jc w:val="both"/>
        <w:rPr>
          <w:rFonts w:ascii="宋体" w:hAnsi="宋体" w:cs="宋体"/>
          <w:bCs/>
          <w:color w:val="auto"/>
          <w:sz w:val="21"/>
          <w:szCs w:val="21"/>
          <w:highlight w:val="none"/>
        </w:rPr>
      </w:pPr>
      <w:bookmarkStart w:id="98" w:name="_Toc492300378"/>
      <w:r>
        <w:rPr>
          <w:rFonts w:hint="eastAsia" w:ascii="宋体" w:hAnsi="宋体" w:cs="宋体"/>
          <w:bCs/>
          <w:color w:val="auto"/>
          <w:sz w:val="21"/>
          <w:szCs w:val="21"/>
          <w:highlight w:val="none"/>
        </w:rPr>
        <w:t>3.6 备选投标方案</w:t>
      </w:r>
      <w:bookmarkEnd w:id="98"/>
    </w:p>
    <w:p w14:paraId="13458F7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 除投标人须知前附表规定允许外，投标人不得递交备选投标方案，否则其投标将被否决。</w:t>
      </w:r>
    </w:p>
    <w:p w14:paraId="0E9C6DF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9064EC8">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3.6.3 投标人提供两个或两个以上投标报价，或者在投标文件中提供一个报价，但同时提供两个或两个以上</w:t>
      </w:r>
      <w:bookmarkStart w:id="99" w:name="_Toc352691495"/>
      <w:bookmarkStart w:id="100" w:name="_Toc29902"/>
      <w:bookmarkStart w:id="101" w:name="_Toc247527575"/>
      <w:bookmarkStart w:id="102" w:name="_Toc152042326"/>
      <w:bookmarkStart w:id="103" w:name="_Toc144974518"/>
      <w:bookmarkStart w:id="104" w:name="_Toc361508607"/>
      <w:bookmarkStart w:id="105" w:name="_Toc300834971"/>
      <w:bookmarkStart w:id="106" w:name="_Toc247513974"/>
      <w:bookmarkStart w:id="107" w:name="_Toc369531538"/>
      <w:bookmarkStart w:id="108" w:name="_Toc152045550"/>
      <w:bookmarkStart w:id="109" w:name="_Toc384308232"/>
      <w:r>
        <w:rPr>
          <w:rFonts w:hint="eastAsia" w:ascii="宋体" w:hAnsi="宋体" w:cs="宋体"/>
          <w:color w:val="auto"/>
          <w:szCs w:val="21"/>
          <w:highlight w:val="none"/>
        </w:rPr>
        <w:t>服务方案的</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color w:val="auto"/>
          <w:szCs w:val="21"/>
          <w:highlight w:val="none"/>
        </w:rPr>
        <w:t>，视为提供备选方案。</w:t>
      </w:r>
    </w:p>
    <w:p w14:paraId="3651AF54">
      <w:pPr>
        <w:pStyle w:val="4"/>
        <w:spacing w:line="430" w:lineRule="exact"/>
        <w:ind w:firstLine="103"/>
        <w:jc w:val="left"/>
        <w:rPr>
          <w:rFonts w:ascii="宋体" w:hAnsi="宋体" w:cs="宋体"/>
          <w:bCs/>
          <w:color w:val="auto"/>
          <w:sz w:val="21"/>
          <w:szCs w:val="21"/>
          <w:highlight w:val="none"/>
        </w:rPr>
      </w:pPr>
      <w:bookmarkStart w:id="110" w:name="_Toc492300379"/>
      <w:r>
        <w:rPr>
          <w:rFonts w:hint="eastAsia" w:ascii="宋体" w:hAnsi="宋体" w:cs="宋体"/>
          <w:bCs/>
          <w:color w:val="auto"/>
          <w:sz w:val="21"/>
          <w:szCs w:val="21"/>
          <w:highlight w:val="none"/>
        </w:rPr>
        <w:t>3.7 投标文件的编制</w:t>
      </w:r>
      <w:bookmarkEnd w:id="110"/>
    </w:p>
    <w:p w14:paraId="4277487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6523B4A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3.7.2 投标文件应当对招标文件有关</w:t>
      </w:r>
      <w:r>
        <w:rPr>
          <w:rFonts w:hint="eastAsia" w:ascii="宋体" w:hAnsi="宋体" w:cs="宋体"/>
          <w:color w:val="auto"/>
          <w:szCs w:val="21"/>
          <w:highlight w:val="none"/>
          <w:lang w:eastAsia="zh-CN"/>
        </w:rPr>
        <w:t>供货时间/服务期限</w:t>
      </w:r>
      <w:r>
        <w:rPr>
          <w:rFonts w:hint="eastAsia" w:ascii="宋体" w:hAnsi="宋体" w:cs="宋体"/>
          <w:color w:val="auto"/>
          <w:szCs w:val="21"/>
          <w:highlight w:val="none"/>
        </w:rPr>
        <w:t>、投标有效期、发包人要求、</w:t>
      </w:r>
      <w:r>
        <w:rPr>
          <w:rFonts w:hint="eastAsia" w:ascii="宋体" w:hAnsi="宋体" w:cs="宋体"/>
          <w:color w:val="auto"/>
          <w:szCs w:val="21"/>
          <w:highlight w:val="none"/>
          <w:lang w:eastAsia="zh-CN"/>
        </w:rPr>
        <w:t>采购内容及范围</w:t>
      </w:r>
      <w:r>
        <w:rPr>
          <w:rFonts w:hint="eastAsia" w:ascii="宋体" w:hAnsi="宋体" w:cs="宋体"/>
          <w:color w:val="auto"/>
          <w:szCs w:val="21"/>
          <w:highlight w:val="none"/>
        </w:rPr>
        <w:t>等实质性内容作出响应。</w:t>
      </w:r>
    </w:p>
    <w:p w14:paraId="07EFB28B">
      <w:pPr>
        <w:spacing w:line="430" w:lineRule="exact"/>
        <w:ind w:firstLine="420" w:firstLineChars="200"/>
        <w:rPr>
          <w:rFonts w:ascii="宋体" w:hAnsi="宋体" w:cs="宋体"/>
          <w:color w:val="auto"/>
          <w:szCs w:val="21"/>
          <w:highlight w:val="none"/>
        </w:rPr>
      </w:pPr>
      <w:bookmarkStart w:id="111" w:name="_Toc492300380"/>
      <w:r>
        <w:rPr>
          <w:rFonts w:hint="eastAsia" w:ascii="宋体" w:hAnsi="宋体" w:cs="宋体"/>
          <w:color w:val="auto"/>
          <w:szCs w:val="21"/>
          <w:highlight w:val="none"/>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CB4C265">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6FD77160">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（3）投标文件的正本与副本应分别装订，并编制目录，投标文件需分册装订的，具体分册装订要求见投标人须知前附表规定。</w:t>
      </w:r>
    </w:p>
    <w:p w14:paraId="572D0DA3">
      <w:pPr>
        <w:pStyle w:val="3"/>
        <w:spacing w:line="43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w:t>
      </w:r>
      <w:bookmarkEnd w:id="111"/>
    </w:p>
    <w:p w14:paraId="54F7B449">
      <w:pPr>
        <w:pStyle w:val="4"/>
        <w:spacing w:line="430" w:lineRule="exact"/>
        <w:ind w:firstLine="103"/>
        <w:jc w:val="left"/>
        <w:rPr>
          <w:rFonts w:ascii="宋体" w:hAnsi="宋体" w:cs="宋体"/>
          <w:color w:val="auto"/>
          <w:sz w:val="21"/>
          <w:szCs w:val="21"/>
          <w:highlight w:val="none"/>
        </w:rPr>
      </w:pPr>
      <w:bookmarkStart w:id="112" w:name="_Toc492300381"/>
      <w:r>
        <w:rPr>
          <w:rFonts w:hint="eastAsia" w:ascii="宋体" w:hAnsi="宋体" w:cs="宋体"/>
          <w:color w:val="auto"/>
          <w:sz w:val="21"/>
          <w:szCs w:val="21"/>
          <w:highlight w:val="none"/>
        </w:rPr>
        <w:t>4.1 投标文件的密封和标记</w:t>
      </w:r>
      <w:bookmarkEnd w:id="112"/>
    </w:p>
    <w:p w14:paraId="607023E8">
      <w:pPr>
        <w:widowControl/>
        <w:numPr>
          <w:ilvl w:val="2"/>
          <w:numId w:val="9"/>
        </w:numPr>
        <w:tabs>
          <w:tab w:val="left" w:pos="940"/>
        </w:tabs>
        <w:spacing w:line="360" w:lineRule="auto"/>
        <w:ind w:firstLine="420"/>
        <w:rPr>
          <w:rFonts w:eastAsia="Times New Roman"/>
          <w:color w:val="auto"/>
          <w:highlight w:val="none"/>
        </w:rPr>
      </w:pPr>
      <w:bookmarkStart w:id="113" w:name="_Toc491883123"/>
      <w:bookmarkStart w:id="114" w:name="_Toc492300384"/>
      <w:r>
        <w:rPr>
          <w:rFonts w:ascii="宋体" w:hAnsi="宋体"/>
          <w:color w:val="auto"/>
          <w:highlight w:val="none"/>
        </w:rPr>
        <w:t>投标文件应密封包装，并在封套的封口处加盖投标人单位章或由投标人的法定代表人（单位负责人）或其授权的代理人签字。</w:t>
      </w:r>
    </w:p>
    <w:p w14:paraId="7859BCA4">
      <w:pPr>
        <w:widowControl/>
        <w:numPr>
          <w:ilvl w:val="2"/>
          <w:numId w:val="9"/>
        </w:numPr>
        <w:tabs>
          <w:tab w:val="left" w:pos="940"/>
        </w:tabs>
        <w:spacing w:line="360" w:lineRule="auto"/>
        <w:ind w:firstLine="420"/>
        <w:rPr>
          <w:rFonts w:eastAsia="Times New Roman"/>
          <w:color w:val="auto"/>
          <w:highlight w:val="none"/>
        </w:rPr>
      </w:pPr>
      <w:r>
        <w:rPr>
          <w:rFonts w:ascii="宋体" w:hAnsi="宋体"/>
          <w:color w:val="auto"/>
          <w:highlight w:val="none"/>
        </w:rPr>
        <w:t>投标文件封套上应写明的内容见投标人须知前附表。</w:t>
      </w:r>
    </w:p>
    <w:p w14:paraId="6B2F9C2F">
      <w:pPr>
        <w:widowControl/>
        <w:numPr>
          <w:ilvl w:val="2"/>
          <w:numId w:val="9"/>
        </w:numPr>
        <w:tabs>
          <w:tab w:val="left" w:pos="940"/>
        </w:tabs>
        <w:spacing w:line="360" w:lineRule="auto"/>
        <w:ind w:firstLine="420"/>
        <w:rPr>
          <w:rFonts w:eastAsia="Times New Roman"/>
          <w:color w:val="auto"/>
          <w:highlight w:val="none"/>
        </w:rPr>
      </w:pPr>
      <w:r>
        <w:rPr>
          <w:rFonts w:ascii="宋体" w:hAnsi="宋体"/>
          <w:color w:val="auto"/>
          <w:highlight w:val="none"/>
        </w:rPr>
        <w:t xml:space="preserve">未按本章第 </w:t>
      </w:r>
      <w:r>
        <w:rPr>
          <w:rFonts w:eastAsia="Times New Roman"/>
          <w:color w:val="auto"/>
          <w:highlight w:val="none"/>
        </w:rPr>
        <w:t>4.1.1</w:t>
      </w:r>
      <w:r>
        <w:rPr>
          <w:rFonts w:ascii="宋体" w:hAnsi="宋体"/>
          <w:color w:val="auto"/>
          <w:highlight w:val="none"/>
        </w:rPr>
        <w:t xml:space="preserve"> 项要求密封的投标文件，招标人将予以拒收。</w:t>
      </w:r>
    </w:p>
    <w:p w14:paraId="111F82AA">
      <w:pPr>
        <w:pStyle w:val="4"/>
        <w:spacing w:line="430" w:lineRule="exact"/>
        <w:ind w:firstLine="103"/>
        <w:jc w:val="left"/>
        <w:rPr>
          <w:rFonts w:ascii="宋体" w:hAnsi="宋体" w:cs="宋体"/>
          <w:bCs/>
          <w:color w:val="auto"/>
          <w:sz w:val="21"/>
          <w:szCs w:val="21"/>
          <w:highlight w:val="none"/>
        </w:rPr>
      </w:pPr>
      <w:r>
        <w:rPr>
          <w:rFonts w:hint="eastAsia" w:ascii="宋体" w:hAnsi="宋体" w:cs="宋体"/>
          <w:bCs/>
          <w:color w:val="auto"/>
          <w:sz w:val="21"/>
          <w:szCs w:val="21"/>
          <w:highlight w:val="none"/>
        </w:rPr>
        <w:t>4.2 投标文件的递交</w:t>
      </w:r>
      <w:bookmarkEnd w:id="113"/>
    </w:p>
    <w:p w14:paraId="485C8946">
      <w:pPr>
        <w:widowControl/>
        <w:numPr>
          <w:ilvl w:val="1"/>
          <w:numId w:val="10"/>
        </w:numPr>
        <w:tabs>
          <w:tab w:val="left" w:pos="940"/>
        </w:tabs>
        <w:spacing w:line="360" w:lineRule="auto"/>
        <w:ind w:left="940" w:hanging="520"/>
        <w:rPr>
          <w:rFonts w:eastAsia="Times New Roman"/>
          <w:color w:val="auto"/>
          <w:highlight w:val="none"/>
        </w:rPr>
      </w:pPr>
      <w:r>
        <w:rPr>
          <w:rFonts w:ascii="宋体" w:hAnsi="宋体"/>
          <w:color w:val="auto"/>
          <w:highlight w:val="none"/>
        </w:rPr>
        <w:t>投标人应在投标人须知前附表规定的投标截止时间前递交投标文件。</w:t>
      </w:r>
    </w:p>
    <w:p w14:paraId="254E9E32">
      <w:pPr>
        <w:widowControl/>
        <w:numPr>
          <w:ilvl w:val="1"/>
          <w:numId w:val="10"/>
        </w:numPr>
        <w:tabs>
          <w:tab w:val="left" w:pos="940"/>
        </w:tabs>
        <w:spacing w:line="360" w:lineRule="auto"/>
        <w:ind w:left="940" w:hanging="520"/>
        <w:rPr>
          <w:rFonts w:eastAsia="Times New Roman"/>
          <w:color w:val="auto"/>
          <w:highlight w:val="none"/>
        </w:rPr>
      </w:pPr>
      <w:r>
        <w:rPr>
          <w:rFonts w:ascii="宋体" w:hAnsi="宋体"/>
          <w:color w:val="auto"/>
          <w:highlight w:val="none"/>
        </w:rPr>
        <w:t>投标人递交投标文件的地点：见投标人须知前附表。</w:t>
      </w:r>
    </w:p>
    <w:p w14:paraId="128152AA">
      <w:pPr>
        <w:widowControl/>
        <w:numPr>
          <w:ilvl w:val="1"/>
          <w:numId w:val="10"/>
        </w:numPr>
        <w:tabs>
          <w:tab w:val="left" w:pos="940"/>
        </w:tabs>
        <w:spacing w:line="360" w:lineRule="auto"/>
        <w:ind w:left="940" w:hanging="520"/>
        <w:rPr>
          <w:rFonts w:eastAsia="Times New Roman"/>
          <w:color w:val="auto"/>
          <w:highlight w:val="none"/>
        </w:rPr>
      </w:pPr>
      <w:r>
        <w:rPr>
          <w:rFonts w:ascii="宋体" w:hAnsi="宋体"/>
          <w:color w:val="auto"/>
          <w:highlight w:val="none"/>
        </w:rPr>
        <w:t>除投标人须知前附表另有规定外，投标人所递交的投标文件不予退还。</w:t>
      </w:r>
    </w:p>
    <w:p w14:paraId="5FF229C7">
      <w:pPr>
        <w:widowControl/>
        <w:numPr>
          <w:ilvl w:val="0"/>
          <w:numId w:val="11"/>
        </w:numPr>
        <w:tabs>
          <w:tab w:val="left" w:pos="940"/>
        </w:tabs>
        <w:spacing w:line="360" w:lineRule="auto"/>
        <w:ind w:left="940" w:hanging="520"/>
        <w:rPr>
          <w:rFonts w:eastAsia="Times New Roman"/>
          <w:color w:val="auto"/>
          <w:highlight w:val="none"/>
        </w:rPr>
      </w:pPr>
      <w:r>
        <w:rPr>
          <w:rFonts w:ascii="宋体" w:hAnsi="宋体"/>
          <w:color w:val="auto"/>
          <w:highlight w:val="none"/>
        </w:rPr>
        <w:t>逾期送达的投标文件，招标人将予以拒收。</w:t>
      </w:r>
    </w:p>
    <w:p w14:paraId="39B1C9C3">
      <w:pPr>
        <w:pStyle w:val="3"/>
        <w:spacing w:line="43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 开标</w:t>
      </w:r>
      <w:bookmarkEnd w:id="114"/>
    </w:p>
    <w:p w14:paraId="74714629">
      <w:pPr>
        <w:pStyle w:val="4"/>
        <w:spacing w:line="430" w:lineRule="exact"/>
        <w:ind w:firstLine="103"/>
        <w:jc w:val="both"/>
        <w:rPr>
          <w:rFonts w:ascii="宋体" w:hAnsi="宋体" w:cs="宋体"/>
          <w:color w:val="auto"/>
          <w:sz w:val="21"/>
          <w:szCs w:val="21"/>
          <w:highlight w:val="none"/>
        </w:rPr>
      </w:pPr>
      <w:bookmarkStart w:id="115" w:name="_Toc492300385"/>
      <w:r>
        <w:rPr>
          <w:rFonts w:hint="eastAsia" w:ascii="宋体" w:hAnsi="宋体" w:cs="宋体"/>
          <w:color w:val="auto"/>
          <w:sz w:val="21"/>
          <w:szCs w:val="21"/>
          <w:highlight w:val="none"/>
        </w:rPr>
        <w:t>5.1 开标时间和地点</w:t>
      </w:r>
      <w:bookmarkEnd w:id="115"/>
    </w:p>
    <w:p w14:paraId="50A03369">
      <w:pPr>
        <w:spacing w:line="430" w:lineRule="exact"/>
        <w:ind w:firstLine="420" w:firstLineChars="200"/>
        <w:rPr>
          <w:rFonts w:ascii="宋体" w:hAnsi="宋体" w:cs="宋体"/>
          <w:color w:val="auto"/>
          <w:szCs w:val="21"/>
          <w:highlight w:val="none"/>
        </w:rPr>
      </w:pPr>
      <w:bookmarkStart w:id="116" w:name="_Toc492300389"/>
      <w:r>
        <w:rPr>
          <w:rFonts w:hint="eastAsia" w:ascii="宋体" w:hAnsi="宋体" w:cs="宋体"/>
          <w:color w:val="auto"/>
          <w:szCs w:val="21"/>
          <w:highlight w:val="none"/>
        </w:rPr>
        <w:t>招标人在本章第 4.2.1 项规定的投标截止时间，所有投标人的法定代表人（单位负责人）或其委托代理人应当准时参加。</w:t>
      </w:r>
    </w:p>
    <w:p w14:paraId="55A9AB14">
      <w:pPr>
        <w:pStyle w:val="3"/>
        <w:spacing w:line="43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 评标</w:t>
      </w:r>
      <w:bookmarkEnd w:id="116"/>
    </w:p>
    <w:p w14:paraId="36D46C9D">
      <w:pPr>
        <w:pStyle w:val="4"/>
        <w:spacing w:line="430" w:lineRule="exact"/>
        <w:ind w:firstLine="103"/>
        <w:jc w:val="both"/>
        <w:rPr>
          <w:rFonts w:ascii="宋体" w:hAnsi="宋体" w:cs="宋体"/>
          <w:bCs/>
          <w:color w:val="auto"/>
          <w:sz w:val="21"/>
          <w:szCs w:val="21"/>
          <w:highlight w:val="none"/>
        </w:rPr>
      </w:pPr>
      <w:bookmarkStart w:id="117" w:name="_Toc492300390"/>
      <w:r>
        <w:rPr>
          <w:rFonts w:hint="eastAsia" w:ascii="宋体" w:hAnsi="宋体" w:cs="宋体"/>
          <w:bCs/>
          <w:color w:val="auto"/>
          <w:sz w:val="21"/>
          <w:szCs w:val="21"/>
          <w:highlight w:val="none"/>
        </w:rPr>
        <w:t>6.1 评标委员会</w:t>
      </w:r>
      <w:bookmarkEnd w:id="117"/>
    </w:p>
    <w:p w14:paraId="77D001E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 评标由招标人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A132B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E4DAC44">
      <w:pPr>
        <w:spacing w:line="43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7E008FC5">
      <w:pPr>
        <w:spacing w:line="43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01D1521">
      <w:pPr>
        <w:spacing w:line="43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77548BD1">
      <w:pPr>
        <w:spacing w:line="43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（4）曾因在招标、评</w:t>
      </w:r>
      <w:bookmarkStart w:id="118" w:name="_Toc352691499"/>
      <w:bookmarkStart w:id="119" w:name="_Toc247527580"/>
      <w:bookmarkStart w:id="120" w:name="_Toc152042331"/>
      <w:bookmarkStart w:id="121" w:name="_Toc247513979"/>
      <w:bookmarkStart w:id="122" w:name="_Toc300834976"/>
      <w:bookmarkStart w:id="123" w:name="_Toc144974523"/>
      <w:bookmarkStart w:id="124" w:name="_Toc152045555"/>
      <w:bookmarkStart w:id="125" w:name="_Toc6230"/>
      <w:bookmarkStart w:id="126" w:name="_Toc361508612"/>
      <w:bookmarkStart w:id="127" w:name="_Toc384308237"/>
      <w:bookmarkStart w:id="128" w:name="_Toc369531543"/>
      <w:r>
        <w:rPr>
          <w:rFonts w:hint="eastAsia" w:ascii="宋体" w:hAnsi="宋体" w:cs="宋体"/>
          <w:color w:val="auto"/>
          <w:szCs w:val="21"/>
          <w:highlight w:val="none"/>
        </w:rPr>
        <w:t>标以及其他</w:t>
      </w:r>
      <w:bookmarkEnd w:id="118"/>
      <w:bookmarkEnd w:id="119"/>
      <w:bookmarkEnd w:id="120"/>
      <w:bookmarkEnd w:id="121"/>
      <w:bookmarkEnd w:id="122"/>
      <w:bookmarkEnd w:id="123"/>
      <w:bookmarkEnd w:id="124"/>
      <w:bookmarkEnd w:id="125"/>
      <w:bookmarkEnd w:id="126"/>
      <w:bookmarkEnd w:id="127"/>
      <w:bookmarkEnd w:id="128"/>
      <w:r>
        <w:rPr>
          <w:rFonts w:hint="eastAsia" w:ascii="宋体" w:hAnsi="宋体" w:cs="宋体"/>
          <w:color w:val="auto"/>
          <w:szCs w:val="21"/>
          <w:highlight w:val="none"/>
        </w:rPr>
        <w:t>与</w:t>
      </w:r>
      <w:bookmarkStart w:id="129" w:name="_Toc352691500"/>
      <w:bookmarkStart w:id="130" w:name="_Toc152042332"/>
      <w:bookmarkStart w:id="131" w:name="_Toc152045556"/>
      <w:bookmarkStart w:id="132" w:name="_Toc17703"/>
      <w:bookmarkStart w:id="133" w:name="_Toc247527581"/>
      <w:bookmarkStart w:id="134" w:name="_Toc144974524"/>
      <w:bookmarkStart w:id="135" w:name="_Toc369531544"/>
      <w:bookmarkStart w:id="136" w:name="_Toc384308238"/>
      <w:bookmarkStart w:id="137" w:name="_Toc300834977"/>
      <w:bookmarkStart w:id="138" w:name="_Toc247513980"/>
      <w:bookmarkStart w:id="139" w:name="_Toc361508613"/>
      <w:r>
        <w:rPr>
          <w:rFonts w:hint="eastAsia" w:ascii="宋体" w:hAnsi="宋体" w:cs="宋体"/>
          <w:color w:val="auto"/>
          <w:szCs w:val="21"/>
          <w:highlight w:val="none"/>
        </w:rPr>
        <w:t>招标投标有关活动中从事违法行</w:t>
      </w:r>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color w:val="auto"/>
          <w:szCs w:val="21"/>
          <w:highlight w:val="none"/>
        </w:rPr>
        <w:t>为而受过行政处罚或刑事处罚的；</w:t>
      </w:r>
    </w:p>
    <w:p w14:paraId="708DBEFB">
      <w:pPr>
        <w:spacing w:line="430" w:lineRule="exact"/>
        <w:ind w:firstLine="718" w:firstLineChars="342"/>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4DEAE3C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A10E069">
      <w:pPr>
        <w:pStyle w:val="4"/>
        <w:spacing w:line="430" w:lineRule="exact"/>
        <w:ind w:firstLine="103"/>
        <w:jc w:val="left"/>
        <w:rPr>
          <w:rFonts w:ascii="宋体" w:hAnsi="宋体" w:cs="宋体"/>
          <w:bCs/>
          <w:color w:val="auto"/>
          <w:sz w:val="21"/>
          <w:szCs w:val="21"/>
          <w:highlight w:val="none"/>
        </w:rPr>
      </w:pPr>
      <w:bookmarkStart w:id="140" w:name="_Toc492300391"/>
      <w:r>
        <w:rPr>
          <w:rFonts w:hint="eastAsia" w:ascii="宋体" w:hAnsi="宋体" w:cs="宋体"/>
          <w:bCs/>
          <w:color w:val="auto"/>
          <w:sz w:val="21"/>
          <w:szCs w:val="21"/>
          <w:highlight w:val="none"/>
        </w:rPr>
        <w:t>6.2 评标原则</w:t>
      </w:r>
      <w:bookmarkEnd w:id="140"/>
    </w:p>
    <w:p w14:paraId="3085A5FC">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w:t>
      </w:r>
      <w:bookmarkStart w:id="141" w:name="_Toc152045557"/>
      <w:bookmarkStart w:id="142" w:name="_Toc144974525"/>
      <w:bookmarkStart w:id="143" w:name="_Toc18949"/>
      <w:bookmarkStart w:id="144" w:name="_Toc369531545"/>
      <w:bookmarkStart w:id="145" w:name="_Toc352691501"/>
      <w:bookmarkStart w:id="146" w:name="_Toc247513981"/>
      <w:bookmarkStart w:id="147" w:name="_Toc384308239"/>
      <w:bookmarkStart w:id="148" w:name="_Toc300834978"/>
      <w:bookmarkStart w:id="149" w:name="_Toc247527582"/>
      <w:bookmarkStart w:id="150" w:name="_Toc361508614"/>
      <w:bookmarkStart w:id="151" w:name="_Toc152042333"/>
      <w:r>
        <w:rPr>
          <w:rFonts w:hint="eastAsia" w:ascii="宋体" w:hAnsi="宋体" w:cs="宋体"/>
          <w:color w:val="auto"/>
          <w:szCs w:val="21"/>
          <w:highlight w:val="none"/>
        </w:rPr>
        <w:t>则。</w:t>
      </w:r>
    </w:p>
    <w:p w14:paraId="404CBBAA">
      <w:pPr>
        <w:pStyle w:val="4"/>
        <w:spacing w:line="430" w:lineRule="exact"/>
        <w:ind w:firstLine="103"/>
        <w:jc w:val="left"/>
        <w:rPr>
          <w:rFonts w:ascii="宋体" w:hAnsi="宋体" w:cs="宋体"/>
          <w:bCs/>
          <w:color w:val="auto"/>
          <w:sz w:val="21"/>
          <w:szCs w:val="21"/>
          <w:highlight w:val="none"/>
        </w:rPr>
      </w:pPr>
      <w:bookmarkStart w:id="152" w:name="_Toc492300392"/>
      <w:r>
        <w:rPr>
          <w:rFonts w:hint="eastAsia" w:ascii="宋体" w:hAnsi="宋体" w:cs="宋体"/>
          <w:bCs/>
          <w:color w:val="auto"/>
          <w:sz w:val="21"/>
          <w:szCs w:val="21"/>
          <w:highlight w:val="none"/>
        </w:rPr>
        <w:t>6.3 评标</w:t>
      </w:r>
      <w:bookmarkEnd w:id="152"/>
    </w:p>
    <w:p w14:paraId="643C8507">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bookmarkEnd w:id="141"/>
      <w:bookmarkEnd w:id="142"/>
      <w:bookmarkEnd w:id="143"/>
      <w:bookmarkEnd w:id="144"/>
      <w:bookmarkEnd w:id="145"/>
      <w:bookmarkEnd w:id="146"/>
      <w:bookmarkEnd w:id="147"/>
      <w:bookmarkEnd w:id="148"/>
      <w:bookmarkEnd w:id="149"/>
      <w:bookmarkEnd w:id="150"/>
      <w:bookmarkEnd w:id="151"/>
      <w:r>
        <w:rPr>
          <w:rFonts w:hint="eastAsia" w:ascii="宋体" w:hAnsi="宋体" w:cs="宋体"/>
          <w:color w:val="auto"/>
          <w:szCs w:val="21"/>
          <w:highlight w:val="none"/>
        </w:rPr>
        <w:t>.3.1评标委员会按照第三章“评标办法”规定的方法、评审因素、标准和程序对投标文件进行评审。第三章“评标办法”没有规定的方法、评审因素和标准，不作为评标依据。</w:t>
      </w:r>
    </w:p>
    <w:p w14:paraId="28612026">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6.3.2评标完成后，评标委员会应当向招标人提交书面评标报告和中标候选人名单。评标委员会推荐中标</w:t>
      </w:r>
      <w:bookmarkStart w:id="153" w:name="_Toc152045558"/>
      <w:bookmarkStart w:id="154" w:name="_Toc12259"/>
      <w:bookmarkStart w:id="155" w:name="_Toc247527583"/>
      <w:bookmarkStart w:id="156" w:name="_Toc144974526"/>
      <w:bookmarkStart w:id="157" w:name="_Toc300834979"/>
      <w:bookmarkStart w:id="158" w:name="_Toc369531546"/>
      <w:bookmarkStart w:id="159" w:name="_Toc352691502"/>
      <w:bookmarkStart w:id="160" w:name="_Toc361508615"/>
      <w:bookmarkStart w:id="161" w:name="_Toc152042334"/>
      <w:bookmarkStart w:id="162" w:name="_Toc247513982"/>
      <w:bookmarkStart w:id="163" w:name="_Toc384308240"/>
      <w:r>
        <w:rPr>
          <w:rFonts w:hint="eastAsia" w:ascii="宋体" w:hAnsi="宋体" w:cs="宋体"/>
          <w:color w:val="auto"/>
          <w:szCs w:val="21"/>
          <w:highlight w:val="none"/>
        </w:rPr>
        <w:t>候选人的人数见投标人须知前附</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cs="宋体"/>
          <w:color w:val="auto"/>
          <w:szCs w:val="21"/>
          <w:highlight w:val="none"/>
        </w:rPr>
        <w:t>表。</w:t>
      </w:r>
    </w:p>
    <w:p w14:paraId="33B36C5E">
      <w:pPr>
        <w:pStyle w:val="3"/>
        <w:spacing w:line="430" w:lineRule="exact"/>
        <w:rPr>
          <w:rFonts w:ascii="宋体" w:hAnsi="宋体" w:eastAsia="宋体" w:cs="宋体"/>
          <w:color w:val="auto"/>
          <w:sz w:val="21"/>
          <w:szCs w:val="21"/>
          <w:highlight w:val="none"/>
        </w:rPr>
      </w:pPr>
      <w:bookmarkStart w:id="164" w:name="_Toc492300393"/>
      <w:r>
        <w:rPr>
          <w:rFonts w:hint="eastAsia" w:ascii="宋体" w:hAnsi="宋体" w:eastAsia="宋体" w:cs="宋体"/>
          <w:color w:val="auto"/>
          <w:sz w:val="21"/>
          <w:szCs w:val="21"/>
          <w:highlight w:val="none"/>
        </w:rPr>
        <w:t>7. 合同授予</w:t>
      </w:r>
      <w:bookmarkEnd w:id="164"/>
    </w:p>
    <w:p w14:paraId="0C0A8ACA">
      <w:pPr>
        <w:pStyle w:val="4"/>
        <w:spacing w:line="430" w:lineRule="exact"/>
        <w:ind w:firstLine="103"/>
        <w:jc w:val="left"/>
        <w:rPr>
          <w:rFonts w:ascii="宋体" w:hAnsi="宋体" w:cs="宋体"/>
          <w:bCs/>
          <w:color w:val="auto"/>
          <w:sz w:val="21"/>
          <w:szCs w:val="21"/>
          <w:highlight w:val="none"/>
        </w:rPr>
      </w:pPr>
      <w:bookmarkStart w:id="165" w:name="_Toc492300394"/>
      <w:r>
        <w:rPr>
          <w:rFonts w:hint="eastAsia" w:ascii="宋体" w:hAnsi="宋体" w:cs="宋体"/>
          <w:bCs/>
          <w:color w:val="auto"/>
          <w:sz w:val="21"/>
          <w:szCs w:val="21"/>
          <w:highlight w:val="none"/>
        </w:rPr>
        <w:t>7.1 中标候选人公示</w:t>
      </w:r>
      <w:bookmarkEnd w:id="165"/>
    </w:p>
    <w:p w14:paraId="0861FDA9">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招标人在收到评标报告之日起3日内，按照投标人须知前附表规定的公示媒介和期限公示中标候选人，公示期不得少于3天。</w:t>
      </w:r>
    </w:p>
    <w:p w14:paraId="20D06889">
      <w:pPr>
        <w:pStyle w:val="4"/>
        <w:spacing w:line="430" w:lineRule="exact"/>
        <w:ind w:firstLine="103"/>
        <w:jc w:val="left"/>
        <w:rPr>
          <w:rFonts w:ascii="宋体" w:hAnsi="宋体" w:cs="宋体"/>
          <w:bCs/>
          <w:color w:val="auto"/>
          <w:sz w:val="21"/>
          <w:szCs w:val="21"/>
          <w:highlight w:val="none"/>
        </w:rPr>
      </w:pPr>
      <w:bookmarkStart w:id="166" w:name="_Toc492300395"/>
      <w:r>
        <w:rPr>
          <w:rFonts w:hint="eastAsia" w:ascii="宋体" w:hAnsi="宋体" w:cs="宋体"/>
          <w:bCs/>
          <w:color w:val="auto"/>
          <w:sz w:val="21"/>
          <w:szCs w:val="21"/>
          <w:highlight w:val="none"/>
        </w:rPr>
        <w:t>7.2 评标结果异议</w:t>
      </w:r>
      <w:bookmarkEnd w:id="166"/>
    </w:p>
    <w:p w14:paraId="358F6F7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投标人或者其他利</w:t>
      </w:r>
      <w:bookmarkStart w:id="167" w:name="_Toc30095"/>
      <w:bookmarkStart w:id="168" w:name="_Toc369531549"/>
      <w:bookmarkStart w:id="169" w:name="_Toc361508618"/>
      <w:bookmarkStart w:id="170" w:name="_Toc352691505"/>
      <w:bookmarkStart w:id="171" w:name="_Toc152045561"/>
      <w:bookmarkStart w:id="172" w:name="_Toc384308243"/>
      <w:bookmarkStart w:id="173" w:name="_Toc144974529"/>
      <w:bookmarkStart w:id="174" w:name="_Toc152042337"/>
      <w:bookmarkStart w:id="175" w:name="_Toc247527586"/>
      <w:bookmarkStart w:id="176" w:name="_Toc300834982"/>
      <w:bookmarkStart w:id="177" w:name="_Toc247513985"/>
      <w:r>
        <w:rPr>
          <w:rFonts w:hint="eastAsia" w:ascii="宋体" w:hAnsi="宋体" w:cs="宋体"/>
          <w:color w:val="auto"/>
          <w:szCs w:val="21"/>
          <w:highlight w:val="none"/>
        </w:rPr>
        <w:t>害关系人对评标结</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cs="宋体"/>
          <w:color w:val="auto"/>
          <w:szCs w:val="21"/>
          <w:highlight w:val="none"/>
        </w:rPr>
        <w:t>果有异议的，应当在中标候选人公示期间提出。招标人将在收到异议之日起3日内作出答复；作出答复前，将暂停招标投标活动。</w:t>
      </w:r>
    </w:p>
    <w:p w14:paraId="5C2BC3C4">
      <w:pPr>
        <w:pStyle w:val="4"/>
        <w:spacing w:line="430" w:lineRule="exact"/>
        <w:ind w:firstLine="103"/>
        <w:jc w:val="left"/>
        <w:rPr>
          <w:rFonts w:ascii="宋体" w:hAnsi="宋体" w:cs="宋体"/>
          <w:bCs/>
          <w:color w:val="auto"/>
          <w:sz w:val="21"/>
          <w:szCs w:val="21"/>
          <w:highlight w:val="none"/>
        </w:rPr>
      </w:pPr>
      <w:bookmarkStart w:id="178" w:name="_Toc492300396"/>
      <w:r>
        <w:rPr>
          <w:rFonts w:hint="eastAsia" w:ascii="宋体" w:hAnsi="宋体" w:cs="宋体"/>
          <w:bCs/>
          <w:color w:val="auto"/>
          <w:sz w:val="21"/>
          <w:szCs w:val="21"/>
          <w:highlight w:val="none"/>
        </w:rPr>
        <w:t>7.3 中标候选人履约能力审查</w:t>
      </w:r>
      <w:bookmarkEnd w:id="178"/>
    </w:p>
    <w:p w14:paraId="2EBB83F1">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EE2445C">
      <w:pPr>
        <w:pStyle w:val="4"/>
        <w:spacing w:line="430" w:lineRule="exact"/>
        <w:ind w:firstLine="103"/>
        <w:jc w:val="left"/>
        <w:rPr>
          <w:rFonts w:ascii="宋体" w:hAnsi="宋体" w:cs="宋体"/>
          <w:bCs/>
          <w:color w:val="auto"/>
          <w:sz w:val="21"/>
          <w:szCs w:val="21"/>
          <w:highlight w:val="none"/>
        </w:rPr>
      </w:pPr>
      <w:bookmarkStart w:id="179" w:name="_Toc492300397"/>
      <w:r>
        <w:rPr>
          <w:rFonts w:hint="eastAsia" w:ascii="宋体" w:hAnsi="宋体" w:cs="宋体"/>
          <w:bCs/>
          <w:color w:val="auto"/>
          <w:sz w:val="21"/>
          <w:szCs w:val="21"/>
          <w:highlight w:val="none"/>
        </w:rPr>
        <w:t>7.4 定标</w:t>
      </w:r>
      <w:bookmarkEnd w:id="179"/>
    </w:p>
    <w:p w14:paraId="17DF3036">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按照投标人须知前附表的规定，招标人或招标人授权的评标委员会确定中标人。</w:t>
      </w:r>
    </w:p>
    <w:p w14:paraId="50566BA8">
      <w:pPr>
        <w:pStyle w:val="4"/>
        <w:spacing w:line="430" w:lineRule="exact"/>
        <w:ind w:firstLine="103"/>
        <w:jc w:val="left"/>
        <w:rPr>
          <w:rFonts w:ascii="宋体" w:hAnsi="宋体" w:cs="宋体"/>
          <w:bCs/>
          <w:color w:val="auto"/>
          <w:sz w:val="21"/>
          <w:szCs w:val="21"/>
          <w:highlight w:val="none"/>
        </w:rPr>
      </w:pPr>
      <w:bookmarkStart w:id="180" w:name="_Toc492300398"/>
      <w:r>
        <w:rPr>
          <w:rFonts w:hint="eastAsia" w:ascii="宋体" w:hAnsi="宋体" w:cs="宋体"/>
          <w:bCs/>
          <w:color w:val="auto"/>
          <w:sz w:val="21"/>
          <w:szCs w:val="21"/>
          <w:highlight w:val="none"/>
        </w:rPr>
        <w:t>7.5 中标通知</w:t>
      </w:r>
      <w:bookmarkEnd w:id="180"/>
    </w:p>
    <w:p w14:paraId="2EBE7EF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在本章第3.3款规定的投标有效期内，招标人以书面形式向中标人发出中标</w:t>
      </w:r>
      <w:bookmarkStart w:id="181" w:name="_Toc361508619"/>
      <w:bookmarkStart w:id="182" w:name="_Toc369531550"/>
      <w:bookmarkStart w:id="183" w:name="_Toc300834983"/>
      <w:bookmarkStart w:id="184" w:name="_Toc5668"/>
      <w:bookmarkStart w:id="185" w:name="_Toc384308244"/>
      <w:bookmarkStart w:id="186" w:name="_Toc352691506"/>
      <w:r>
        <w:rPr>
          <w:rFonts w:hint="eastAsia" w:ascii="宋体" w:hAnsi="宋体" w:cs="宋体"/>
          <w:color w:val="auto"/>
          <w:szCs w:val="21"/>
          <w:highlight w:val="none"/>
        </w:rPr>
        <w:t>通知书，同时将中</w:t>
      </w:r>
      <w:bookmarkEnd w:id="181"/>
      <w:bookmarkEnd w:id="182"/>
      <w:bookmarkEnd w:id="183"/>
      <w:bookmarkEnd w:id="184"/>
      <w:bookmarkEnd w:id="185"/>
      <w:bookmarkEnd w:id="186"/>
      <w:r>
        <w:rPr>
          <w:rFonts w:hint="eastAsia" w:ascii="宋体" w:hAnsi="宋体" w:cs="宋体"/>
          <w:color w:val="auto"/>
          <w:szCs w:val="21"/>
          <w:highlight w:val="none"/>
        </w:rPr>
        <w:t>标结果通知未中标的投标人。</w:t>
      </w:r>
    </w:p>
    <w:p w14:paraId="5318C6BC">
      <w:pPr>
        <w:pStyle w:val="4"/>
        <w:spacing w:line="430" w:lineRule="exact"/>
        <w:ind w:firstLine="103"/>
        <w:jc w:val="left"/>
        <w:rPr>
          <w:rFonts w:ascii="宋体" w:hAnsi="宋体" w:cs="宋体"/>
          <w:bCs/>
          <w:color w:val="auto"/>
          <w:sz w:val="21"/>
          <w:szCs w:val="21"/>
          <w:highlight w:val="none"/>
        </w:rPr>
      </w:pPr>
      <w:bookmarkStart w:id="187" w:name="_Toc492300399"/>
      <w:bookmarkStart w:id="188" w:name="_Toc482188479"/>
      <w:r>
        <w:rPr>
          <w:rFonts w:hint="eastAsia" w:ascii="宋体" w:hAnsi="宋体" w:cs="宋体"/>
          <w:bCs/>
          <w:color w:val="auto"/>
          <w:sz w:val="21"/>
          <w:szCs w:val="21"/>
          <w:highlight w:val="none"/>
        </w:rPr>
        <w:t>7.6 技术成果经济补偿</w:t>
      </w:r>
      <w:bookmarkEnd w:id="187"/>
      <w:bookmarkEnd w:id="188"/>
    </w:p>
    <w:p w14:paraId="74831D7F">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14:paraId="2758CCDC">
      <w:pPr>
        <w:pStyle w:val="4"/>
        <w:spacing w:line="430" w:lineRule="exact"/>
        <w:ind w:firstLine="103"/>
        <w:jc w:val="left"/>
        <w:rPr>
          <w:rFonts w:ascii="宋体" w:hAnsi="宋体" w:cs="宋体"/>
          <w:bCs/>
          <w:color w:val="auto"/>
          <w:sz w:val="21"/>
          <w:szCs w:val="21"/>
          <w:highlight w:val="none"/>
        </w:rPr>
      </w:pPr>
      <w:bookmarkStart w:id="189" w:name="_Toc492300400"/>
      <w:r>
        <w:rPr>
          <w:rFonts w:hint="eastAsia" w:ascii="宋体" w:hAnsi="宋体" w:cs="宋体"/>
          <w:bCs/>
          <w:color w:val="auto"/>
          <w:sz w:val="21"/>
          <w:szCs w:val="21"/>
          <w:highlight w:val="none"/>
        </w:rPr>
        <w:t>7.7 履约保证金</w:t>
      </w:r>
      <w:bookmarkEnd w:id="189"/>
    </w:p>
    <w:p w14:paraId="73C8D1F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7.7.1 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30EADE1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7.7.2 中标人不能按本章第7.7.1项要求提交履约保证金的，视为放弃中标，其投标保证金不予退还，给招标人造成的损失超过投标保证金数额的，中标人还应当对超过部分予以赔偿。</w:t>
      </w:r>
    </w:p>
    <w:p w14:paraId="7DFDA00A">
      <w:pPr>
        <w:pStyle w:val="4"/>
        <w:spacing w:line="430" w:lineRule="exact"/>
        <w:ind w:firstLine="103"/>
        <w:jc w:val="left"/>
        <w:rPr>
          <w:rFonts w:ascii="宋体" w:hAnsi="宋体" w:cs="宋体"/>
          <w:bCs/>
          <w:color w:val="auto"/>
          <w:sz w:val="21"/>
          <w:szCs w:val="21"/>
          <w:highlight w:val="none"/>
        </w:rPr>
      </w:pPr>
      <w:bookmarkStart w:id="190" w:name="_Toc492300401"/>
      <w:r>
        <w:rPr>
          <w:rFonts w:hint="eastAsia" w:ascii="宋体" w:hAnsi="宋体" w:cs="宋体"/>
          <w:bCs/>
          <w:color w:val="auto"/>
          <w:sz w:val="21"/>
          <w:szCs w:val="21"/>
          <w:highlight w:val="none"/>
        </w:rPr>
        <w:t>7.8 签订合同</w:t>
      </w:r>
      <w:bookmarkEnd w:id="190"/>
    </w:p>
    <w:p w14:paraId="54ACA60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FC41B6E">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7.8.2 发出中标通知书后，招标人无正当理由拒签合同，或者在签订合同时向中标人提出附加条件的，招标人向中标人退还投标保证金；给中标人造成损失的，还应当赔偿损失。</w:t>
      </w:r>
    </w:p>
    <w:p w14:paraId="79E1DA9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7.8.3联合体中标的，联合体各方应当共同与招标人签订合同，就中标项目向招标人承担连带责任。</w:t>
      </w:r>
    </w:p>
    <w:p w14:paraId="356C00C2">
      <w:pPr>
        <w:pStyle w:val="3"/>
        <w:spacing w:line="430" w:lineRule="exact"/>
        <w:rPr>
          <w:rFonts w:ascii="宋体" w:hAnsi="宋体" w:eastAsia="宋体" w:cs="宋体"/>
          <w:color w:val="auto"/>
          <w:sz w:val="21"/>
          <w:szCs w:val="21"/>
          <w:highlight w:val="none"/>
        </w:rPr>
      </w:pPr>
      <w:bookmarkStart w:id="191" w:name="_Toc384308252"/>
      <w:bookmarkStart w:id="192" w:name="_Toc361508627"/>
      <w:bookmarkStart w:id="193" w:name="_Toc24067"/>
      <w:bookmarkStart w:id="194" w:name="_Toc492300402"/>
      <w:bookmarkStart w:id="195" w:name="_Toc152045568"/>
      <w:bookmarkStart w:id="196" w:name="_Toc247527593"/>
      <w:bookmarkStart w:id="197" w:name="_Toc144974536"/>
      <w:bookmarkStart w:id="198" w:name="_Toc152042344"/>
      <w:bookmarkStart w:id="199" w:name="_Toc300834991"/>
      <w:bookmarkStart w:id="200" w:name="_Toc247513992"/>
      <w:r>
        <w:rPr>
          <w:rFonts w:hint="eastAsia" w:ascii="宋体" w:hAnsi="宋体" w:eastAsia="宋体" w:cs="宋体"/>
          <w:color w:val="auto"/>
          <w:sz w:val="21"/>
          <w:szCs w:val="21"/>
          <w:highlight w:val="none"/>
        </w:rPr>
        <w:t>8.</w:t>
      </w:r>
      <w:bookmarkEnd w:id="191"/>
      <w:bookmarkEnd w:id="192"/>
      <w:bookmarkEnd w:id="193"/>
      <w:r>
        <w:rPr>
          <w:rFonts w:hint="eastAsia" w:ascii="宋体" w:hAnsi="宋体" w:eastAsia="宋体" w:cs="宋体"/>
          <w:color w:val="auto"/>
          <w:sz w:val="21"/>
          <w:szCs w:val="21"/>
          <w:highlight w:val="none"/>
        </w:rPr>
        <w:t>纪律和监督</w:t>
      </w:r>
      <w:bookmarkEnd w:id="194"/>
    </w:p>
    <w:p w14:paraId="42A86A7C">
      <w:pPr>
        <w:pStyle w:val="4"/>
        <w:spacing w:line="430" w:lineRule="exact"/>
        <w:ind w:firstLine="103"/>
        <w:jc w:val="left"/>
        <w:rPr>
          <w:rFonts w:ascii="宋体" w:hAnsi="宋体" w:cs="宋体"/>
          <w:bCs/>
          <w:color w:val="auto"/>
          <w:sz w:val="21"/>
          <w:szCs w:val="21"/>
          <w:highlight w:val="none"/>
        </w:rPr>
      </w:pPr>
      <w:bookmarkStart w:id="201" w:name="_Toc492300403"/>
      <w:r>
        <w:rPr>
          <w:rFonts w:hint="eastAsia" w:ascii="宋体" w:hAnsi="宋体" w:cs="宋体"/>
          <w:bCs/>
          <w:color w:val="auto"/>
          <w:sz w:val="21"/>
          <w:szCs w:val="21"/>
          <w:highlight w:val="none"/>
        </w:rPr>
        <w:t>8.1 对招标人的纪律要求</w:t>
      </w:r>
      <w:bookmarkEnd w:id="201"/>
    </w:p>
    <w:p w14:paraId="475E2F10">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招标人不得泄露招标投标活动中应当保密的情况和资料，不得与投标人串通损害国家利益、社会公共利益或者他人合法权益。</w:t>
      </w:r>
    </w:p>
    <w:p w14:paraId="04605FA3">
      <w:pPr>
        <w:pStyle w:val="4"/>
        <w:spacing w:line="430" w:lineRule="exact"/>
        <w:ind w:firstLine="103"/>
        <w:jc w:val="left"/>
        <w:rPr>
          <w:rFonts w:ascii="宋体" w:hAnsi="宋体" w:cs="宋体"/>
          <w:bCs/>
          <w:color w:val="auto"/>
          <w:sz w:val="21"/>
          <w:szCs w:val="21"/>
          <w:highlight w:val="none"/>
        </w:rPr>
      </w:pPr>
      <w:bookmarkStart w:id="202" w:name="_Toc492300404"/>
      <w:r>
        <w:rPr>
          <w:rFonts w:hint="eastAsia" w:ascii="宋体" w:hAnsi="宋体" w:cs="宋体"/>
          <w:bCs/>
          <w:color w:val="auto"/>
          <w:sz w:val="21"/>
          <w:szCs w:val="21"/>
          <w:highlight w:val="none"/>
        </w:rPr>
        <w:t>8.2 对投标人的纪律要求</w:t>
      </w:r>
      <w:bookmarkEnd w:id="202"/>
    </w:p>
    <w:p w14:paraId="3839A7B2">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C776DFD">
      <w:pPr>
        <w:pStyle w:val="4"/>
        <w:spacing w:line="430" w:lineRule="exact"/>
        <w:ind w:firstLine="103"/>
        <w:jc w:val="left"/>
        <w:rPr>
          <w:rFonts w:ascii="宋体" w:hAnsi="宋体" w:cs="宋体"/>
          <w:bCs/>
          <w:color w:val="auto"/>
          <w:sz w:val="21"/>
          <w:szCs w:val="21"/>
          <w:highlight w:val="none"/>
        </w:rPr>
      </w:pPr>
      <w:bookmarkStart w:id="203" w:name="_Toc492300405"/>
      <w:r>
        <w:rPr>
          <w:rFonts w:hint="eastAsia" w:ascii="宋体" w:hAnsi="宋体" w:cs="宋体"/>
          <w:bCs/>
          <w:color w:val="auto"/>
          <w:sz w:val="21"/>
          <w:szCs w:val="21"/>
          <w:highlight w:val="none"/>
        </w:rPr>
        <w:t>8.3 对评标委员会成员的纪律要求</w:t>
      </w:r>
      <w:bookmarkEnd w:id="203"/>
    </w:p>
    <w:p w14:paraId="30715213">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评标委员会成员不得收受他人的财物或者其他好处，不得向他人透露对投标文件的评审</w:t>
      </w:r>
      <w:bookmarkStart w:id="204" w:name="_Toc369531559"/>
      <w:bookmarkStart w:id="205" w:name="_Toc384308253"/>
      <w:bookmarkStart w:id="206" w:name="_Toc352691515"/>
      <w:bookmarkStart w:id="207" w:name="_Toc13644"/>
      <w:bookmarkStart w:id="208" w:name="_Toc361508628"/>
      <w:r>
        <w:rPr>
          <w:rFonts w:hint="eastAsia" w:ascii="宋体" w:hAnsi="宋体" w:cs="宋体"/>
          <w:color w:val="auto"/>
          <w:szCs w:val="21"/>
          <w:highlight w:val="none"/>
        </w:rPr>
        <w:t>和比较、中标候选人</w:t>
      </w:r>
      <w:bookmarkEnd w:id="195"/>
      <w:bookmarkEnd w:id="196"/>
      <w:bookmarkEnd w:id="197"/>
      <w:bookmarkEnd w:id="198"/>
      <w:bookmarkEnd w:id="199"/>
      <w:bookmarkEnd w:id="200"/>
      <w:bookmarkEnd w:id="204"/>
      <w:bookmarkEnd w:id="205"/>
      <w:bookmarkEnd w:id="206"/>
      <w:bookmarkEnd w:id="207"/>
      <w:bookmarkEnd w:id="208"/>
      <w:r>
        <w:rPr>
          <w:rFonts w:hint="eastAsia" w:ascii="宋体" w:hAnsi="宋体" w:cs="宋体"/>
          <w:color w:val="auto"/>
          <w:szCs w:val="21"/>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F3DB438">
      <w:pPr>
        <w:pStyle w:val="4"/>
        <w:spacing w:line="430" w:lineRule="exact"/>
        <w:ind w:firstLine="103"/>
        <w:jc w:val="left"/>
        <w:rPr>
          <w:rFonts w:ascii="宋体" w:hAnsi="宋体" w:cs="宋体"/>
          <w:bCs/>
          <w:color w:val="auto"/>
          <w:sz w:val="21"/>
          <w:szCs w:val="21"/>
          <w:highlight w:val="none"/>
        </w:rPr>
      </w:pPr>
      <w:bookmarkStart w:id="209" w:name="_Toc492300406"/>
      <w:r>
        <w:rPr>
          <w:rFonts w:hint="eastAsia" w:ascii="宋体" w:hAnsi="宋体" w:cs="宋体"/>
          <w:bCs/>
          <w:color w:val="auto"/>
          <w:sz w:val="21"/>
          <w:szCs w:val="21"/>
          <w:highlight w:val="none"/>
        </w:rPr>
        <w:t>8.4 对与评标活动有关的工作人员的纪律要求</w:t>
      </w:r>
      <w:bookmarkEnd w:id="209"/>
    </w:p>
    <w:p w14:paraId="545B9214">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与评标活动有关的工作人员不得收受他人的财物或者其他好处，不得向他人透露对投标文件</w:t>
      </w:r>
      <w:bookmarkStart w:id="210" w:name="_Toc300834992"/>
      <w:bookmarkStart w:id="211" w:name="_Toc247527594"/>
      <w:bookmarkStart w:id="212" w:name="_Toc247513993"/>
      <w:bookmarkStart w:id="213" w:name="_Toc152045569"/>
      <w:bookmarkStart w:id="214" w:name="_Toc152042345"/>
      <w:bookmarkStart w:id="215" w:name="_Toc369531560"/>
      <w:bookmarkStart w:id="216" w:name="_Toc352691516"/>
      <w:bookmarkStart w:id="217" w:name="_Toc19429"/>
      <w:bookmarkStart w:id="218" w:name="_Toc361508629"/>
      <w:bookmarkStart w:id="219" w:name="_Toc384308254"/>
      <w:bookmarkStart w:id="220" w:name="_Toc144974537"/>
      <w:r>
        <w:rPr>
          <w:rFonts w:hint="eastAsia" w:ascii="宋体" w:hAnsi="宋体" w:cs="宋体"/>
          <w:color w:val="auto"/>
          <w:szCs w:val="21"/>
          <w:highlight w:val="none"/>
        </w:rPr>
        <w:t>的评审和比较、中标</w:t>
      </w:r>
      <w:bookmarkEnd w:id="210"/>
      <w:bookmarkEnd w:id="211"/>
      <w:bookmarkEnd w:id="212"/>
      <w:bookmarkEnd w:id="213"/>
      <w:bookmarkEnd w:id="214"/>
      <w:bookmarkEnd w:id="215"/>
      <w:bookmarkEnd w:id="216"/>
      <w:bookmarkEnd w:id="217"/>
      <w:bookmarkEnd w:id="218"/>
      <w:bookmarkEnd w:id="219"/>
      <w:bookmarkEnd w:id="220"/>
      <w:r>
        <w:rPr>
          <w:rFonts w:hint="eastAsia" w:ascii="宋体" w:hAnsi="宋体" w:cs="宋体"/>
          <w:color w:val="auto"/>
          <w:szCs w:val="21"/>
          <w:highlight w:val="none"/>
        </w:rPr>
        <w:t>候选人的推荐情况以及评标有关的其他情况。在评标活动中，与评标活动有关的工作人员不得擅离职守，影响评标程序正常进行。</w:t>
      </w:r>
    </w:p>
    <w:p w14:paraId="60C6E080">
      <w:pPr>
        <w:pStyle w:val="4"/>
        <w:spacing w:line="430" w:lineRule="exact"/>
        <w:ind w:firstLine="103"/>
        <w:jc w:val="left"/>
        <w:rPr>
          <w:rFonts w:ascii="宋体" w:hAnsi="宋体" w:cs="宋体"/>
          <w:bCs/>
          <w:color w:val="auto"/>
          <w:sz w:val="21"/>
          <w:szCs w:val="21"/>
          <w:highlight w:val="none"/>
        </w:rPr>
      </w:pPr>
      <w:bookmarkStart w:id="221" w:name="_Toc492300407"/>
      <w:r>
        <w:rPr>
          <w:rFonts w:hint="eastAsia" w:ascii="宋体" w:hAnsi="宋体" w:cs="宋体"/>
          <w:bCs/>
          <w:color w:val="auto"/>
          <w:sz w:val="21"/>
          <w:szCs w:val="21"/>
          <w:highlight w:val="none"/>
        </w:rPr>
        <w:t>8.5 投诉</w:t>
      </w:r>
      <w:bookmarkEnd w:id="221"/>
    </w:p>
    <w:p w14:paraId="5BE11A3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F3046C0">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8.5.2 投标人或者其他利害关系人对招标文件、开标和评标结果提出投诉的，应当按照投标人须知第2.4款、第5.3款和第7.2款的规定先向招标人提出异议。异议答复期间</w:t>
      </w:r>
      <w:bookmarkStart w:id="222" w:name="_Toc152042346"/>
      <w:bookmarkStart w:id="223" w:name="_Toc384308255"/>
      <w:bookmarkStart w:id="224" w:name="_Toc247513994"/>
      <w:bookmarkStart w:id="225" w:name="_Toc247527595"/>
      <w:bookmarkStart w:id="226" w:name="_Toc361508630"/>
      <w:bookmarkStart w:id="227" w:name="_Toc12776"/>
      <w:bookmarkStart w:id="228" w:name="_Toc152045570"/>
      <w:bookmarkStart w:id="229" w:name="_Toc144974538"/>
      <w:bookmarkStart w:id="230" w:name="_Toc352691517"/>
      <w:bookmarkStart w:id="231" w:name="_Toc369531561"/>
      <w:bookmarkStart w:id="232" w:name="_Toc300834993"/>
      <w:r>
        <w:rPr>
          <w:rFonts w:hint="eastAsia" w:ascii="宋体" w:hAnsi="宋体" w:cs="宋体"/>
          <w:color w:val="auto"/>
          <w:szCs w:val="21"/>
          <w:highlight w:val="none"/>
        </w:rPr>
        <w:t>不计算在第8.5.</w:t>
      </w:r>
      <w:bookmarkEnd w:id="222"/>
      <w:bookmarkEnd w:id="223"/>
      <w:bookmarkEnd w:id="224"/>
      <w:bookmarkEnd w:id="225"/>
      <w:bookmarkEnd w:id="226"/>
      <w:bookmarkEnd w:id="227"/>
      <w:bookmarkEnd w:id="228"/>
      <w:bookmarkEnd w:id="229"/>
      <w:bookmarkEnd w:id="230"/>
      <w:bookmarkEnd w:id="231"/>
      <w:bookmarkEnd w:id="232"/>
      <w:r>
        <w:rPr>
          <w:rFonts w:hint="eastAsia" w:ascii="宋体" w:hAnsi="宋体" w:cs="宋体"/>
          <w:color w:val="auto"/>
          <w:szCs w:val="21"/>
          <w:highlight w:val="none"/>
        </w:rPr>
        <w:t>1项规定的期限内。</w:t>
      </w:r>
    </w:p>
    <w:p w14:paraId="0C008D0E">
      <w:pPr>
        <w:pStyle w:val="3"/>
        <w:spacing w:line="430" w:lineRule="exact"/>
        <w:rPr>
          <w:rFonts w:ascii="宋体" w:hAnsi="宋体" w:eastAsia="宋体" w:cs="宋体"/>
          <w:color w:val="auto"/>
          <w:sz w:val="21"/>
          <w:szCs w:val="21"/>
          <w:highlight w:val="none"/>
        </w:rPr>
      </w:pPr>
      <w:bookmarkStart w:id="233" w:name="_Toc492300408"/>
      <w:bookmarkStart w:id="234" w:name="_Toc477134992"/>
      <w:r>
        <w:rPr>
          <w:rFonts w:hint="eastAsia" w:ascii="宋体" w:hAnsi="宋体" w:eastAsia="宋体" w:cs="宋体"/>
          <w:color w:val="auto"/>
          <w:sz w:val="21"/>
          <w:szCs w:val="21"/>
          <w:highlight w:val="none"/>
        </w:rPr>
        <w:t>9. 是否采用电子招标投标</w:t>
      </w:r>
      <w:bookmarkEnd w:id="233"/>
      <w:bookmarkEnd w:id="234"/>
    </w:p>
    <w:p w14:paraId="3B63108A">
      <w:pPr>
        <w:spacing w:line="4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本招标项目是否采用电子招标投标方式，见投标人须知前附表。</w:t>
      </w:r>
    </w:p>
    <w:p w14:paraId="4B15B59C">
      <w:pPr>
        <w:pStyle w:val="3"/>
        <w:spacing w:line="430" w:lineRule="exact"/>
        <w:rPr>
          <w:rFonts w:ascii="宋体" w:hAnsi="宋体" w:eastAsia="宋体" w:cs="宋体"/>
          <w:color w:val="auto"/>
          <w:sz w:val="21"/>
          <w:szCs w:val="21"/>
          <w:highlight w:val="none"/>
        </w:rPr>
      </w:pPr>
      <w:bookmarkStart w:id="235" w:name="_Toc492300409"/>
      <w:r>
        <w:rPr>
          <w:rFonts w:hint="eastAsia" w:ascii="宋体" w:hAnsi="宋体" w:eastAsia="宋体" w:cs="宋体"/>
          <w:color w:val="auto"/>
          <w:sz w:val="21"/>
          <w:szCs w:val="21"/>
          <w:highlight w:val="none"/>
        </w:rPr>
        <w:t>10. 需要补充的其他内容</w:t>
      </w:r>
      <w:bookmarkEnd w:id="235"/>
    </w:p>
    <w:p w14:paraId="2913D1D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0D13E6F4">
      <w:pPr>
        <w:pStyle w:val="43"/>
        <w:ind w:firstLine="210"/>
        <w:rPr>
          <w:color w:val="auto"/>
          <w:highlight w:val="none"/>
        </w:rPr>
        <w:sectPr>
          <w:headerReference r:id="rId9" w:type="default"/>
          <w:pgSz w:w="11906" w:h="16838"/>
          <w:pgMar w:top="1418" w:right="1418" w:bottom="1418" w:left="1701" w:header="851" w:footer="992" w:gutter="0"/>
          <w:pgNumType w:fmt="decimal"/>
          <w:cols w:space="720" w:num="1"/>
          <w:docGrid w:linePitch="360" w:charSpace="0"/>
        </w:sectPr>
      </w:pPr>
    </w:p>
    <w:p w14:paraId="1B755397">
      <w:pPr>
        <w:pStyle w:val="125"/>
        <w:ind w:firstLine="560"/>
        <w:rPr>
          <w:rFonts w:cs="Times New Roman"/>
          <w:color w:val="auto"/>
          <w:sz w:val="28"/>
          <w:szCs w:val="28"/>
          <w:highlight w:val="none"/>
        </w:rPr>
      </w:pPr>
      <w:r>
        <w:rPr>
          <w:rFonts w:cs="Times New Roman"/>
          <w:color w:val="auto"/>
          <w:sz w:val="28"/>
          <w:szCs w:val="28"/>
          <w:highlight w:val="none"/>
        </w:rPr>
        <w:t>附件</w:t>
      </w:r>
      <w:r>
        <w:rPr>
          <w:rFonts w:hint="eastAsia" w:cs="Times New Roman"/>
          <w:color w:val="auto"/>
          <w:sz w:val="28"/>
          <w:szCs w:val="28"/>
          <w:highlight w:val="none"/>
        </w:rPr>
        <w:t>一</w:t>
      </w:r>
      <w:r>
        <w:rPr>
          <w:rFonts w:cs="Times New Roman"/>
          <w:color w:val="auto"/>
          <w:sz w:val="28"/>
          <w:szCs w:val="28"/>
          <w:highlight w:val="none"/>
        </w:rPr>
        <w:t>：问题澄清通知</w:t>
      </w:r>
    </w:p>
    <w:p w14:paraId="6ABFB9F7">
      <w:pPr>
        <w:pStyle w:val="125"/>
        <w:ind w:firstLine="560"/>
        <w:jc w:val="center"/>
        <w:rPr>
          <w:rFonts w:cs="Times New Roman"/>
          <w:color w:val="auto"/>
          <w:sz w:val="28"/>
          <w:szCs w:val="28"/>
          <w:highlight w:val="none"/>
        </w:rPr>
      </w:pPr>
      <w:r>
        <w:rPr>
          <w:rFonts w:cs="Times New Roman"/>
          <w:color w:val="auto"/>
          <w:sz w:val="28"/>
          <w:szCs w:val="28"/>
          <w:highlight w:val="none"/>
        </w:rPr>
        <w:t>问题澄清通知</w:t>
      </w:r>
    </w:p>
    <w:p w14:paraId="6AF96461">
      <w:pPr>
        <w:pStyle w:val="125"/>
        <w:jc w:val="center"/>
        <w:rPr>
          <w:rFonts w:ascii="宋体" w:eastAsia="宋体" w:cs="宋体"/>
          <w:color w:val="auto"/>
          <w:sz w:val="21"/>
          <w:szCs w:val="21"/>
          <w:highlight w:val="none"/>
        </w:rPr>
      </w:pPr>
      <w:r>
        <w:rPr>
          <w:rFonts w:hint="eastAsia" w:ascii="宋体" w:eastAsia="宋体" w:cs="宋体"/>
          <w:color w:val="auto"/>
          <w:sz w:val="21"/>
          <w:szCs w:val="21"/>
          <w:highlight w:val="none"/>
        </w:rPr>
        <w:t>（编号：）</w:t>
      </w:r>
    </w:p>
    <w:p w14:paraId="5087A229">
      <w:pPr>
        <w:pStyle w:val="125"/>
        <w:jc w:val="center"/>
        <w:rPr>
          <w:rFonts w:ascii="宋体" w:eastAsia="宋体" w:cs="宋体"/>
          <w:color w:val="auto"/>
          <w:sz w:val="21"/>
          <w:szCs w:val="21"/>
          <w:highlight w:val="none"/>
        </w:rPr>
      </w:pPr>
    </w:p>
    <w:p w14:paraId="463C2268">
      <w:pPr>
        <w:pStyle w:val="125"/>
        <w:rPr>
          <w:rFonts w:ascii="宋体" w:eastAsia="宋体" w:cs="宋体"/>
          <w:color w:val="auto"/>
          <w:sz w:val="21"/>
          <w:szCs w:val="21"/>
          <w:highlight w:val="none"/>
        </w:rPr>
      </w:pPr>
      <w:r>
        <w:rPr>
          <w:rFonts w:hint="eastAsia" w:ascii="宋体" w:eastAsia="宋体" w:cs="宋体"/>
          <w:color w:val="auto"/>
          <w:sz w:val="21"/>
          <w:szCs w:val="21"/>
          <w:highlight w:val="none"/>
        </w:rPr>
        <w:t>（投标人名称）：</w:t>
      </w:r>
    </w:p>
    <w:p w14:paraId="03037605">
      <w:pPr>
        <w:pStyle w:val="125"/>
        <w:rPr>
          <w:rFonts w:ascii="宋体" w:eastAsia="宋体" w:cs="宋体"/>
          <w:color w:val="auto"/>
          <w:sz w:val="21"/>
          <w:szCs w:val="21"/>
          <w:highlight w:val="none"/>
        </w:rPr>
      </w:pPr>
    </w:p>
    <w:p w14:paraId="0E580D56">
      <w:pPr>
        <w:pStyle w:val="125"/>
        <w:spacing w:line="430" w:lineRule="exact"/>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评标委员会对你方的投标文件进行了仔细的审查，现需你方对下列问题以书面形式予以澄清、说明或补正：</w:t>
      </w:r>
    </w:p>
    <w:p w14:paraId="5BA04034">
      <w:pPr>
        <w:pStyle w:val="125"/>
        <w:spacing w:line="430" w:lineRule="exact"/>
        <w:ind w:firstLine="420" w:firstLineChars="2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1.</w:t>
      </w:r>
    </w:p>
    <w:p w14:paraId="623B5E39">
      <w:pPr>
        <w:pStyle w:val="125"/>
        <w:spacing w:line="430" w:lineRule="exact"/>
        <w:ind w:firstLine="420" w:firstLineChars="2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w:t>
      </w:r>
    </w:p>
    <w:p w14:paraId="61F9263E">
      <w:pPr>
        <w:pStyle w:val="125"/>
        <w:spacing w:line="430" w:lineRule="exact"/>
        <w:ind w:firstLine="420" w:firstLineChars="2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 xml:space="preserve">......   </w:t>
      </w:r>
    </w:p>
    <w:p w14:paraId="0C1C151C">
      <w:pPr>
        <w:pStyle w:val="125"/>
        <w:spacing w:line="430" w:lineRule="exact"/>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请将上述问题的澄清、说明或补正于年月日时前递交至</w:t>
      </w:r>
    </w:p>
    <w:p w14:paraId="32C9823F">
      <w:pPr>
        <w:pStyle w:val="125"/>
        <w:spacing w:line="430" w:lineRule="exact"/>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（详细地址）或传真至 （传真号码）或通过下载招标文件的电子招标交易平台上传。采用传真方式的，应在年月日时前将原件递交至（详细地址）。</w:t>
      </w:r>
    </w:p>
    <w:p w14:paraId="2A121160">
      <w:pPr>
        <w:pStyle w:val="125"/>
        <w:spacing w:line="430" w:lineRule="exact"/>
        <w:ind w:firstLine="420" w:firstLineChars="200"/>
        <w:rPr>
          <w:rFonts w:ascii="宋体" w:eastAsia="宋体" w:cs="宋体"/>
          <w:color w:val="auto"/>
          <w:sz w:val="21"/>
          <w:szCs w:val="21"/>
          <w:highlight w:val="none"/>
        </w:rPr>
      </w:pPr>
    </w:p>
    <w:p w14:paraId="6564A219">
      <w:pPr>
        <w:pStyle w:val="125"/>
        <w:spacing w:line="430" w:lineRule="exact"/>
        <w:ind w:firstLine="420" w:firstLineChars="200"/>
        <w:rPr>
          <w:rFonts w:ascii="宋体" w:eastAsia="宋体" w:cs="宋体"/>
          <w:color w:val="auto"/>
          <w:sz w:val="21"/>
          <w:szCs w:val="21"/>
          <w:highlight w:val="none"/>
        </w:rPr>
      </w:pPr>
    </w:p>
    <w:p w14:paraId="23EC9684">
      <w:pPr>
        <w:pStyle w:val="125"/>
        <w:wordWrap w:val="0"/>
        <w:spacing w:line="430" w:lineRule="exact"/>
        <w:ind w:firstLine="420" w:firstLineChars="200"/>
        <w:jc w:val="right"/>
        <w:rPr>
          <w:rFonts w:ascii="宋体" w:eastAsia="宋体" w:cs="宋体"/>
          <w:color w:val="auto"/>
          <w:sz w:val="21"/>
          <w:szCs w:val="21"/>
          <w:highlight w:val="none"/>
        </w:rPr>
      </w:pPr>
      <w:r>
        <w:rPr>
          <w:rFonts w:hint="eastAsia" w:ascii="宋体" w:eastAsia="宋体" w:cs="宋体"/>
          <w:color w:val="auto"/>
          <w:sz w:val="21"/>
          <w:szCs w:val="21"/>
          <w:highlight w:val="none"/>
        </w:rPr>
        <w:t>评标委员会授权的招标人或招标代理机构：</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（签字或盖章）</w:t>
      </w:r>
    </w:p>
    <w:p w14:paraId="7663760A">
      <w:pPr>
        <w:pStyle w:val="125"/>
        <w:spacing w:line="430" w:lineRule="exact"/>
        <w:ind w:firstLine="420" w:firstLineChars="200"/>
        <w:jc w:val="right"/>
        <w:rPr>
          <w:rFonts w:ascii="宋体" w:eastAsia="宋体" w:cs="宋体"/>
          <w:color w:val="auto"/>
          <w:sz w:val="21"/>
          <w:szCs w:val="21"/>
          <w:highlight w:val="none"/>
        </w:rPr>
      </w:pPr>
    </w:p>
    <w:p w14:paraId="7594F5FA">
      <w:pPr>
        <w:wordWrap w:val="0"/>
        <w:spacing w:line="430" w:lineRule="exact"/>
        <w:ind w:firstLine="420" w:firstLineChars="200"/>
        <w:jc w:val="right"/>
        <w:rPr>
          <w:color w:val="auto"/>
          <w:szCs w:val="21"/>
          <w:highlight w:val="none"/>
        </w:rPr>
      </w:pPr>
      <w:r>
        <w:rPr>
          <w:rFonts w:hint="eastAsia" w:ascii="宋体" w:cs="宋体"/>
          <w:color w:val="auto"/>
          <w:szCs w:val="21"/>
          <w:highlight w:val="none"/>
        </w:rPr>
        <w:t xml:space="preserve">年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月    日</w:t>
      </w:r>
    </w:p>
    <w:p w14:paraId="17943378">
      <w:pPr>
        <w:spacing w:line="430" w:lineRule="exact"/>
        <w:ind w:firstLine="420" w:firstLineChars="200"/>
        <w:rPr>
          <w:color w:val="auto"/>
          <w:szCs w:val="21"/>
          <w:highlight w:val="none"/>
        </w:rPr>
      </w:pPr>
    </w:p>
    <w:p w14:paraId="24B45B86">
      <w:pPr>
        <w:spacing w:line="430" w:lineRule="exact"/>
        <w:ind w:firstLine="420" w:firstLineChars="200"/>
        <w:rPr>
          <w:color w:val="auto"/>
          <w:szCs w:val="21"/>
          <w:highlight w:val="none"/>
        </w:rPr>
      </w:pPr>
    </w:p>
    <w:p w14:paraId="3C4345D7">
      <w:pPr>
        <w:spacing w:line="430" w:lineRule="exact"/>
        <w:ind w:firstLine="420" w:firstLineChars="200"/>
        <w:rPr>
          <w:color w:val="auto"/>
          <w:szCs w:val="21"/>
          <w:highlight w:val="none"/>
        </w:rPr>
      </w:pPr>
    </w:p>
    <w:p w14:paraId="7CAB40E0">
      <w:pPr>
        <w:rPr>
          <w:color w:val="auto"/>
          <w:szCs w:val="21"/>
          <w:highlight w:val="none"/>
        </w:rPr>
      </w:pPr>
    </w:p>
    <w:p w14:paraId="348D9D49">
      <w:pPr>
        <w:rPr>
          <w:color w:val="auto"/>
          <w:szCs w:val="21"/>
          <w:highlight w:val="none"/>
        </w:rPr>
      </w:pPr>
    </w:p>
    <w:p w14:paraId="3E61D4C8">
      <w:pPr>
        <w:rPr>
          <w:color w:val="auto"/>
          <w:szCs w:val="21"/>
          <w:highlight w:val="none"/>
        </w:rPr>
      </w:pPr>
    </w:p>
    <w:p w14:paraId="787DB6FC">
      <w:pPr>
        <w:rPr>
          <w:color w:val="auto"/>
          <w:szCs w:val="21"/>
          <w:highlight w:val="none"/>
        </w:rPr>
      </w:pPr>
    </w:p>
    <w:p w14:paraId="10F8BFDC">
      <w:pPr>
        <w:rPr>
          <w:color w:val="auto"/>
          <w:szCs w:val="21"/>
          <w:highlight w:val="none"/>
        </w:rPr>
      </w:pPr>
    </w:p>
    <w:p w14:paraId="73E33EA3">
      <w:pPr>
        <w:rPr>
          <w:color w:val="auto"/>
          <w:szCs w:val="21"/>
          <w:highlight w:val="none"/>
        </w:rPr>
      </w:pPr>
    </w:p>
    <w:p w14:paraId="5B572560">
      <w:pPr>
        <w:rPr>
          <w:color w:val="auto"/>
          <w:szCs w:val="21"/>
          <w:highlight w:val="none"/>
        </w:rPr>
      </w:pPr>
    </w:p>
    <w:p w14:paraId="45E99BB9">
      <w:pPr>
        <w:rPr>
          <w:color w:val="auto"/>
          <w:szCs w:val="21"/>
          <w:highlight w:val="none"/>
        </w:rPr>
      </w:pPr>
    </w:p>
    <w:p w14:paraId="04244A07">
      <w:pPr>
        <w:rPr>
          <w:color w:val="auto"/>
          <w:szCs w:val="21"/>
          <w:highlight w:val="none"/>
        </w:rPr>
      </w:pPr>
    </w:p>
    <w:p w14:paraId="4B0DE9BE">
      <w:pPr>
        <w:rPr>
          <w:color w:val="auto"/>
          <w:szCs w:val="21"/>
          <w:highlight w:val="none"/>
        </w:rPr>
      </w:pPr>
    </w:p>
    <w:p w14:paraId="0DA24010">
      <w:pPr>
        <w:rPr>
          <w:color w:val="auto"/>
          <w:szCs w:val="21"/>
          <w:highlight w:val="none"/>
        </w:rPr>
      </w:pPr>
    </w:p>
    <w:p w14:paraId="6ED77355">
      <w:pPr>
        <w:rPr>
          <w:color w:val="auto"/>
          <w:szCs w:val="21"/>
          <w:highlight w:val="none"/>
        </w:rPr>
      </w:pPr>
    </w:p>
    <w:p w14:paraId="49852461">
      <w:pPr>
        <w:pStyle w:val="125"/>
        <w:rPr>
          <w:color w:val="auto"/>
          <w:highlight w:val="none"/>
        </w:rPr>
      </w:pPr>
    </w:p>
    <w:p w14:paraId="609142FE">
      <w:pPr>
        <w:pStyle w:val="125"/>
        <w:ind w:firstLine="560"/>
        <w:rPr>
          <w:rFonts w:cs="Times New Roman"/>
          <w:color w:val="auto"/>
          <w:sz w:val="28"/>
          <w:szCs w:val="28"/>
          <w:highlight w:val="none"/>
        </w:rPr>
      </w:pPr>
      <w:r>
        <w:rPr>
          <w:rFonts w:cs="Times New Roman"/>
          <w:color w:val="auto"/>
          <w:sz w:val="28"/>
          <w:szCs w:val="28"/>
          <w:highlight w:val="none"/>
        </w:rPr>
        <w:t>附件</w:t>
      </w:r>
      <w:r>
        <w:rPr>
          <w:rFonts w:hint="eastAsia" w:cs="Times New Roman"/>
          <w:color w:val="auto"/>
          <w:sz w:val="28"/>
          <w:szCs w:val="28"/>
          <w:highlight w:val="none"/>
        </w:rPr>
        <w:t>二</w:t>
      </w:r>
      <w:r>
        <w:rPr>
          <w:rFonts w:cs="Times New Roman"/>
          <w:color w:val="auto"/>
          <w:sz w:val="28"/>
          <w:szCs w:val="28"/>
          <w:highlight w:val="none"/>
        </w:rPr>
        <w:t>：问题的澄清</w:t>
      </w:r>
    </w:p>
    <w:p w14:paraId="08F93999">
      <w:pPr>
        <w:pStyle w:val="125"/>
        <w:ind w:firstLine="560"/>
        <w:jc w:val="center"/>
        <w:rPr>
          <w:rFonts w:cs="Times New Roman"/>
          <w:color w:val="auto"/>
          <w:sz w:val="28"/>
          <w:szCs w:val="28"/>
          <w:highlight w:val="none"/>
        </w:rPr>
      </w:pPr>
      <w:r>
        <w:rPr>
          <w:rFonts w:cs="Times New Roman"/>
          <w:color w:val="auto"/>
          <w:sz w:val="28"/>
          <w:szCs w:val="28"/>
          <w:highlight w:val="none"/>
        </w:rPr>
        <w:t>问题的澄清</w:t>
      </w:r>
    </w:p>
    <w:p w14:paraId="704DD670">
      <w:pPr>
        <w:pStyle w:val="125"/>
        <w:jc w:val="center"/>
        <w:rPr>
          <w:rFonts w:ascii="宋体" w:eastAsia="宋体" w:cs="宋体"/>
          <w:color w:val="auto"/>
          <w:sz w:val="21"/>
          <w:szCs w:val="21"/>
          <w:highlight w:val="none"/>
        </w:rPr>
      </w:pPr>
      <w:r>
        <w:rPr>
          <w:rFonts w:hint="eastAsia" w:ascii="宋体" w:eastAsia="宋体" w:cs="宋体"/>
          <w:color w:val="auto"/>
          <w:sz w:val="21"/>
          <w:szCs w:val="21"/>
          <w:highlight w:val="none"/>
        </w:rPr>
        <w:t xml:space="preserve">     （编号：）</w:t>
      </w:r>
    </w:p>
    <w:p w14:paraId="3340AC71">
      <w:pPr>
        <w:pStyle w:val="125"/>
        <w:spacing w:line="430" w:lineRule="exact"/>
        <w:rPr>
          <w:rFonts w:ascii="宋体" w:eastAsia="宋体" w:cs="宋体"/>
          <w:color w:val="auto"/>
          <w:sz w:val="21"/>
          <w:szCs w:val="21"/>
          <w:highlight w:val="none"/>
        </w:rPr>
      </w:pPr>
      <w:r>
        <w:rPr>
          <w:rFonts w:hint="eastAsia" w:ascii="宋体" w:eastAsia="宋体" w:cs="宋体"/>
          <w:color w:val="auto"/>
          <w:sz w:val="21"/>
          <w:szCs w:val="21"/>
          <w:highlight w:val="none"/>
        </w:rPr>
        <w:t>评标委员会：</w:t>
      </w:r>
    </w:p>
    <w:p w14:paraId="64A10978">
      <w:pPr>
        <w:pStyle w:val="125"/>
        <w:spacing w:line="430" w:lineRule="exact"/>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问题澄清通知（编号：）已收悉，现澄清、说明或补正如下：</w:t>
      </w:r>
    </w:p>
    <w:p w14:paraId="1D68EE67">
      <w:pPr>
        <w:pStyle w:val="125"/>
        <w:spacing w:line="430" w:lineRule="exact"/>
        <w:ind w:firstLine="420" w:firstLineChars="2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1.</w:t>
      </w:r>
    </w:p>
    <w:p w14:paraId="5507C35C">
      <w:pPr>
        <w:pStyle w:val="125"/>
        <w:spacing w:line="430" w:lineRule="exact"/>
        <w:ind w:firstLine="420" w:firstLineChars="200"/>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w:t>
      </w:r>
    </w:p>
    <w:p w14:paraId="00D3F368">
      <w:pPr>
        <w:pStyle w:val="125"/>
        <w:spacing w:line="430" w:lineRule="exact"/>
        <w:ind w:firstLine="420" w:firstLineChars="200"/>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 xml:space="preserve">......   </w:t>
      </w:r>
    </w:p>
    <w:p w14:paraId="51342289">
      <w:pPr>
        <w:pStyle w:val="125"/>
        <w:spacing w:line="430" w:lineRule="exact"/>
        <w:ind w:firstLine="420" w:firstLineChars="200"/>
        <w:rPr>
          <w:rFonts w:ascii="Times New Roman" w:eastAsia="宋体" w:cs="Times New Roman"/>
          <w:color w:val="auto"/>
          <w:sz w:val="21"/>
          <w:szCs w:val="21"/>
          <w:highlight w:val="none"/>
        </w:rPr>
      </w:pPr>
    </w:p>
    <w:p w14:paraId="2F5434CF">
      <w:pPr>
        <w:pStyle w:val="125"/>
        <w:spacing w:line="430" w:lineRule="exact"/>
        <w:ind w:firstLine="420" w:firstLineChars="200"/>
        <w:rPr>
          <w:rFonts w:ascii="Times New Roman" w:eastAsia="宋体" w:cs="Times New Roman"/>
          <w:color w:val="auto"/>
          <w:sz w:val="21"/>
          <w:szCs w:val="21"/>
          <w:highlight w:val="none"/>
        </w:rPr>
      </w:pPr>
    </w:p>
    <w:p w14:paraId="41693251">
      <w:pPr>
        <w:pStyle w:val="125"/>
        <w:spacing w:line="430" w:lineRule="exact"/>
        <w:ind w:firstLine="420" w:firstLineChars="200"/>
        <w:rPr>
          <w:rFonts w:ascii="宋体" w:eastAsia="宋体" w:cs="宋体"/>
          <w:color w:val="auto"/>
          <w:sz w:val="21"/>
          <w:szCs w:val="21"/>
          <w:highlight w:val="none"/>
        </w:rPr>
      </w:pPr>
      <w:r>
        <w:rPr>
          <w:rFonts w:hint="eastAsia" w:ascii="宋体" w:eastAsia="宋体" w:cs="宋体"/>
          <w:color w:val="auto"/>
          <w:sz w:val="21"/>
          <w:szCs w:val="21"/>
          <w:highlight w:val="none"/>
        </w:rPr>
        <w:t>上述问题澄清、说明或补正，不改变我方投标文件的实质性内容，构成我方投标文件的组成部分。</w:t>
      </w:r>
    </w:p>
    <w:p w14:paraId="6B99758D">
      <w:pPr>
        <w:pStyle w:val="125"/>
        <w:spacing w:line="430" w:lineRule="exact"/>
        <w:ind w:firstLine="420" w:firstLineChars="200"/>
        <w:rPr>
          <w:rFonts w:ascii="宋体" w:eastAsia="宋体" w:cs="宋体"/>
          <w:color w:val="auto"/>
          <w:sz w:val="21"/>
          <w:szCs w:val="21"/>
          <w:highlight w:val="none"/>
        </w:rPr>
      </w:pPr>
    </w:p>
    <w:p w14:paraId="7A50BD03">
      <w:pPr>
        <w:pStyle w:val="125"/>
        <w:spacing w:line="430" w:lineRule="exact"/>
        <w:ind w:firstLine="420" w:firstLineChars="200"/>
        <w:rPr>
          <w:rFonts w:ascii="宋体" w:eastAsia="宋体" w:cs="宋体"/>
          <w:color w:val="auto"/>
          <w:sz w:val="21"/>
          <w:szCs w:val="21"/>
          <w:highlight w:val="none"/>
        </w:rPr>
      </w:pPr>
    </w:p>
    <w:p w14:paraId="515A6314">
      <w:pPr>
        <w:pStyle w:val="125"/>
        <w:wordWrap w:val="0"/>
        <w:spacing w:line="430" w:lineRule="exact"/>
        <w:ind w:firstLine="420" w:firstLineChars="200"/>
        <w:jc w:val="right"/>
        <w:rPr>
          <w:rFonts w:ascii="宋体" w:eastAsia="宋体" w:cs="宋体"/>
          <w:color w:val="auto"/>
          <w:sz w:val="21"/>
          <w:szCs w:val="21"/>
          <w:highlight w:val="none"/>
        </w:rPr>
      </w:pPr>
      <w:r>
        <w:rPr>
          <w:rFonts w:hint="eastAsia" w:ascii="宋体" w:eastAsia="宋体" w:cs="宋体"/>
          <w:color w:val="auto"/>
          <w:sz w:val="21"/>
          <w:szCs w:val="21"/>
          <w:highlight w:val="none"/>
        </w:rPr>
        <w:t>投标人：</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（盖单位章）</w:t>
      </w:r>
    </w:p>
    <w:p w14:paraId="66206742">
      <w:pPr>
        <w:pStyle w:val="125"/>
        <w:spacing w:line="430" w:lineRule="exact"/>
        <w:ind w:firstLine="420" w:firstLineChars="200"/>
        <w:jc w:val="right"/>
        <w:rPr>
          <w:rFonts w:ascii="宋体" w:eastAsia="宋体" w:cs="宋体"/>
          <w:color w:val="auto"/>
          <w:sz w:val="21"/>
          <w:szCs w:val="21"/>
          <w:highlight w:val="none"/>
        </w:rPr>
      </w:pPr>
    </w:p>
    <w:p w14:paraId="0C8998AB">
      <w:pPr>
        <w:pStyle w:val="125"/>
        <w:wordWrap w:val="0"/>
        <w:spacing w:line="430" w:lineRule="exact"/>
        <w:ind w:firstLine="420" w:firstLineChars="200"/>
        <w:jc w:val="right"/>
        <w:rPr>
          <w:rFonts w:ascii="宋体" w:eastAsia="宋体" w:cs="宋体"/>
          <w:color w:val="auto"/>
          <w:sz w:val="21"/>
          <w:szCs w:val="21"/>
          <w:highlight w:val="none"/>
        </w:rPr>
      </w:pPr>
      <w:r>
        <w:rPr>
          <w:rFonts w:hint="eastAsia" w:ascii="宋体" w:eastAsia="宋体" w:cs="宋体"/>
          <w:color w:val="auto"/>
          <w:sz w:val="21"/>
          <w:szCs w:val="21"/>
          <w:highlight w:val="none"/>
        </w:rPr>
        <w:t>法定代表人或其委托代理人：</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u w:val="single"/>
        </w:rPr>
        <w:t xml:space="preserve"> </w:t>
      </w:r>
      <w:r>
        <w:rPr>
          <w:rFonts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（签字）</w:t>
      </w:r>
    </w:p>
    <w:p w14:paraId="7C6EDD1C">
      <w:pPr>
        <w:pStyle w:val="125"/>
        <w:spacing w:line="430" w:lineRule="exact"/>
        <w:ind w:firstLine="420" w:firstLineChars="200"/>
        <w:jc w:val="right"/>
        <w:rPr>
          <w:rFonts w:ascii="宋体" w:eastAsia="宋体" w:cs="宋体"/>
          <w:color w:val="auto"/>
          <w:sz w:val="21"/>
          <w:szCs w:val="21"/>
          <w:highlight w:val="none"/>
        </w:rPr>
      </w:pPr>
    </w:p>
    <w:p w14:paraId="7804A606">
      <w:pPr>
        <w:wordWrap w:val="0"/>
        <w:spacing w:line="430" w:lineRule="exact"/>
        <w:ind w:firstLine="420" w:firstLineChars="200"/>
        <w:jc w:val="right"/>
        <w:rPr>
          <w:color w:val="auto"/>
          <w:szCs w:val="21"/>
          <w:highlight w:val="none"/>
        </w:rPr>
      </w:pPr>
      <w:r>
        <w:rPr>
          <w:rFonts w:hint="eastAsia" w:ascii="宋体" w:cs="宋体"/>
          <w:color w:val="auto"/>
          <w:szCs w:val="21"/>
          <w:highlight w:val="none"/>
        </w:rPr>
        <w:t>年    月     日</w:t>
      </w:r>
    </w:p>
    <w:p w14:paraId="30431A87">
      <w:pPr>
        <w:spacing w:line="430" w:lineRule="exact"/>
        <w:ind w:firstLine="420" w:firstLineChars="200"/>
        <w:rPr>
          <w:color w:val="auto"/>
          <w:szCs w:val="21"/>
          <w:highlight w:val="none"/>
        </w:rPr>
      </w:pPr>
    </w:p>
    <w:p w14:paraId="3CC50A7A">
      <w:pPr>
        <w:spacing w:line="430" w:lineRule="exact"/>
        <w:ind w:firstLine="420" w:firstLineChars="200"/>
        <w:rPr>
          <w:color w:val="auto"/>
          <w:szCs w:val="21"/>
          <w:highlight w:val="none"/>
        </w:rPr>
      </w:pPr>
    </w:p>
    <w:p w14:paraId="26EBAA7F">
      <w:pPr>
        <w:spacing w:line="430" w:lineRule="exact"/>
        <w:ind w:firstLine="420" w:firstLineChars="200"/>
        <w:rPr>
          <w:color w:val="auto"/>
          <w:szCs w:val="21"/>
          <w:highlight w:val="none"/>
        </w:rPr>
      </w:pPr>
    </w:p>
    <w:p w14:paraId="3592443F">
      <w:pPr>
        <w:spacing w:line="430" w:lineRule="exact"/>
        <w:ind w:firstLine="420" w:firstLineChars="200"/>
        <w:rPr>
          <w:color w:val="auto"/>
          <w:szCs w:val="21"/>
          <w:highlight w:val="none"/>
        </w:rPr>
      </w:pPr>
    </w:p>
    <w:p w14:paraId="688BBBED">
      <w:pPr>
        <w:spacing w:line="430" w:lineRule="exact"/>
        <w:ind w:firstLine="420" w:firstLineChars="200"/>
        <w:rPr>
          <w:color w:val="auto"/>
          <w:szCs w:val="21"/>
          <w:highlight w:val="none"/>
        </w:rPr>
      </w:pPr>
    </w:p>
    <w:p w14:paraId="5B16D2BB">
      <w:pPr>
        <w:spacing w:line="430" w:lineRule="exact"/>
        <w:ind w:firstLine="420" w:firstLineChars="200"/>
        <w:rPr>
          <w:color w:val="auto"/>
          <w:szCs w:val="21"/>
          <w:highlight w:val="none"/>
        </w:rPr>
      </w:pPr>
    </w:p>
    <w:p w14:paraId="505FC0D2">
      <w:pPr>
        <w:spacing w:line="430" w:lineRule="exact"/>
        <w:ind w:firstLine="420" w:firstLineChars="200"/>
        <w:rPr>
          <w:color w:val="auto"/>
          <w:szCs w:val="21"/>
          <w:highlight w:val="none"/>
        </w:rPr>
      </w:pPr>
    </w:p>
    <w:p w14:paraId="02870F8C">
      <w:pPr>
        <w:spacing w:line="430" w:lineRule="exact"/>
        <w:ind w:firstLine="420" w:firstLineChars="200"/>
        <w:rPr>
          <w:color w:val="auto"/>
          <w:szCs w:val="21"/>
          <w:highlight w:val="none"/>
        </w:rPr>
      </w:pPr>
    </w:p>
    <w:p w14:paraId="314CDBC7">
      <w:pPr>
        <w:spacing w:line="430" w:lineRule="exact"/>
        <w:ind w:firstLine="420" w:firstLineChars="200"/>
        <w:rPr>
          <w:color w:val="auto"/>
          <w:szCs w:val="21"/>
          <w:highlight w:val="none"/>
        </w:rPr>
      </w:pPr>
    </w:p>
    <w:p w14:paraId="303631AD">
      <w:pPr>
        <w:spacing w:line="430" w:lineRule="exact"/>
        <w:ind w:firstLine="420" w:firstLineChars="200"/>
        <w:rPr>
          <w:color w:val="auto"/>
          <w:szCs w:val="21"/>
          <w:highlight w:val="none"/>
        </w:rPr>
      </w:pPr>
    </w:p>
    <w:p w14:paraId="1ACA6EF5">
      <w:pPr>
        <w:spacing w:line="430" w:lineRule="exact"/>
        <w:ind w:firstLine="420" w:firstLineChars="200"/>
        <w:rPr>
          <w:color w:val="auto"/>
          <w:szCs w:val="21"/>
          <w:highlight w:val="none"/>
        </w:rPr>
      </w:pPr>
    </w:p>
    <w:p w14:paraId="0A5BDA03">
      <w:pPr>
        <w:rPr>
          <w:color w:val="auto"/>
          <w:szCs w:val="21"/>
          <w:highlight w:val="none"/>
        </w:rPr>
      </w:pPr>
      <w:r>
        <w:rPr>
          <w:color w:val="auto"/>
          <w:szCs w:val="21"/>
          <w:highlight w:val="none"/>
        </w:rPr>
        <w:br w:type="page"/>
      </w:r>
    </w:p>
    <w:p w14:paraId="1CE08418">
      <w:pPr>
        <w:jc w:val="center"/>
        <w:rPr>
          <w:rFonts w:eastAsia="黑体"/>
          <w:color w:val="auto"/>
          <w:sz w:val="32"/>
          <w:szCs w:val="32"/>
          <w:highlight w:val="none"/>
        </w:rPr>
      </w:pPr>
      <w:r>
        <w:rPr>
          <w:rFonts w:eastAsia="黑体"/>
          <w:color w:val="auto"/>
          <w:sz w:val="32"/>
          <w:szCs w:val="32"/>
          <w:highlight w:val="none"/>
        </w:rPr>
        <w:t>第三章</w:t>
      </w:r>
      <w:r>
        <w:rPr>
          <w:rFonts w:hint="eastAsia" w:eastAsia="黑体"/>
          <w:color w:val="auto"/>
          <w:sz w:val="32"/>
          <w:szCs w:val="32"/>
          <w:highlight w:val="none"/>
        </w:rPr>
        <w:t xml:space="preserve"> </w:t>
      </w:r>
      <w:r>
        <w:rPr>
          <w:rFonts w:eastAsia="黑体"/>
          <w:color w:val="auto"/>
          <w:sz w:val="32"/>
          <w:szCs w:val="32"/>
          <w:highlight w:val="none"/>
        </w:rPr>
        <w:t>评标办法（综合评估法）</w:t>
      </w:r>
    </w:p>
    <w:p w14:paraId="00D9426C">
      <w:pPr>
        <w:rPr>
          <w:rFonts w:eastAsia="黑体"/>
          <w:color w:val="auto"/>
          <w:sz w:val="28"/>
          <w:szCs w:val="28"/>
          <w:highlight w:val="none"/>
        </w:rPr>
      </w:pPr>
      <w:r>
        <w:rPr>
          <w:rFonts w:eastAsia="黑体"/>
          <w:color w:val="auto"/>
          <w:sz w:val="28"/>
          <w:szCs w:val="28"/>
          <w:highlight w:val="none"/>
        </w:rPr>
        <w:t>评标办法前附表</w:t>
      </w:r>
    </w:p>
    <w:tbl>
      <w:tblPr>
        <w:tblStyle w:val="45"/>
        <w:tblW w:w="92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62"/>
        <w:gridCol w:w="1740"/>
        <w:gridCol w:w="5803"/>
      </w:tblGrid>
      <w:tr w14:paraId="02DD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1671" w:type="dxa"/>
            <w:gridSpan w:val="2"/>
            <w:vAlign w:val="center"/>
          </w:tcPr>
          <w:p w14:paraId="1C3AFF41">
            <w:pPr>
              <w:adjustRightInd w:val="0"/>
              <w:snapToGrid w:val="0"/>
              <w:spacing w:line="430" w:lineRule="atLeast"/>
              <w:jc w:val="center"/>
              <w:rPr>
                <w:b/>
                <w:color w:val="auto"/>
                <w:szCs w:val="21"/>
                <w:highlight w:val="none"/>
              </w:rPr>
            </w:pPr>
            <w:r>
              <w:rPr>
                <w:b/>
                <w:color w:val="auto"/>
                <w:szCs w:val="21"/>
                <w:highlight w:val="none"/>
              </w:rPr>
              <w:t>条款号</w:t>
            </w:r>
          </w:p>
        </w:tc>
        <w:tc>
          <w:tcPr>
            <w:tcW w:w="1740" w:type="dxa"/>
            <w:vAlign w:val="center"/>
          </w:tcPr>
          <w:p w14:paraId="003DA3FF">
            <w:pPr>
              <w:adjustRightInd w:val="0"/>
              <w:snapToGrid w:val="0"/>
              <w:spacing w:line="430" w:lineRule="atLeast"/>
              <w:jc w:val="center"/>
              <w:rPr>
                <w:b/>
                <w:color w:val="auto"/>
                <w:szCs w:val="21"/>
                <w:highlight w:val="none"/>
              </w:rPr>
            </w:pPr>
            <w:r>
              <w:rPr>
                <w:b/>
                <w:color w:val="auto"/>
                <w:szCs w:val="21"/>
                <w:highlight w:val="none"/>
              </w:rPr>
              <w:t>评审因素</w:t>
            </w:r>
          </w:p>
        </w:tc>
        <w:tc>
          <w:tcPr>
            <w:tcW w:w="5803" w:type="dxa"/>
            <w:vAlign w:val="center"/>
          </w:tcPr>
          <w:p w14:paraId="2D13B822">
            <w:pPr>
              <w:adjustRightInd w:val="0"/>
              <w:snapToGrid w:val="0"/>
              <w:spacing w:line="430" w:lineRule="atLeast"/>
              <w:jc w:val="center"/>
              <w:rPr>
                <w:b/>
                <w:color w:val="auto"/>
                <w:szCs w:val="21"/>
                <w:highlight w:val="none"/>
              </w:rPr>
            </w:pPr>
            <w:r>
              <w:rPr>
                <w:b/>
                <w:color w:val="auto"/>
                <w:szCs w:val="21"/>
                <w:highlight w:val="none"/>
              </w:rPr>
              <w:t>评审标准</w:t>
            </w:r>
          </w:p>
        </w:tc>
      </w:tr>
      <w:tr w14:paraId="2147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709" w:type="dxa"/>
            <w:tcBorders>
              <w:right w:val="single" w:color="auto" w:sz="4" w:space="0"/>
            </w:tcBorders>
            <w:vAlign w:val="center"/>
          </w:tcPr>
          <w:p w14:paraId="1F50A3ED">
            <w:pPr>
              <w:adjustRightInd w:val="0"/>
              <w:snapToGrid w:val="0"/>
              <w:spacing w:line="430" w:lineRule="atLeast"/>
              <w:jc w:val="center"/>
              <w:rPr>
                <w:color w:val="auto"/>
                <w:szCs w:val="21"/>
                <w:highlight w:val="none"/>
              </w:rPr>
            </w:pPr>
            <w:r>
              <w:rPr>
                <w:rFonts w:hint="eastAsia"/>
                <w:color w:val="auto"/>
                <w:szCs w:val="21"/>
                <w:highlight w:val="none"/>
              </w:rPr>
              <w:t>1</w:t>
            </w:r>
          </w:p>
        </w:tc>
        <w:tc>
          <w:tcPr>
            <w:tcW w:w="962" w:type="dxa"/>
            <w:tcBorders>
              <w:left w:val="single" w:color="auto" w:sz="4" w:space="0"/>
            </w:tcBorders>
            <w:vAlign w:val="center"/>
          </w:tcPr>
          <w:p w14:paraId="48C9EEEB">
            <w:pPr>
              <w:adjustRightInd w:val="0"/>
              <w:snapToGrid w:val="0"/>
              <w:spacing w:line="430" w:lineRule="atLeast"/>
              <w:jc w:val="center"/>
              <w:rPr>
                <w:color w:val="auto"/>
                <w:szCs w:val="21"/>
                <w:highlight w:val="none"/>
              </w:rPr>
            </w:pPr>
            <w:r>
              <w:rPr>
                <w:rFonts w:hint="eastAsia"/>
                <w:color w:val="auto"/>
                <w:szCs w:val="21"/>
                <w:highlight w:val="none"/>
              </w:rPr>
              <w:t>评标</w:t>
            </w:r>
            <w:r>
              <w:rPr>
                <w:color w:val="auto"/>
                <w:szCs w:val="21"/>
                <w:highlight w:val="none"/>
              </w:rPr>
              <w:t>方法</w:t>
            </w:r>
          </w:p>
        </w:tc>
        <w:tc>
          <w:tcPr>
            <w:tcW w:w="1740" w:type="dxa"/>
            <w:vAlign w:val="center"/>
          </w:tcPr>
          <w:p w14:paraId="7A08AAD0">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中标候选人</w:t>
            </w:r>
          </w:p>
          <w:p w14:paraId="654ADE10">
            <w:pPr>
              <w:spacing w:line="430" w:lineRule="exact"/>
              <w:jc w:val="center"/>
              <w:rPr>
                <w:color w:val="auto"/>
                <w:szCs w:val="21"/>
                <w:highlight w:val="none"/>
              </w:rPr>
            </w:pPr>
            <w:r>
              <w:rPr>
                <w:rFonts w:hint="eastAsia" w:ascii="宋体" w:hAnsi="宋体" w:cs="宋体"/>
                <w:color w:val="auto"/>
                <w:szCs w:val="21"/>
                <w:highlight w:val="none"/>
              </w:rPr>
              <w:t>排序方法</w:t>
            </w:r>
          </w:p>
        </w:tc>
        <w:tc>
          <w:tcPr>
            <w:tcW w:w="5803" w:type="dxa"/>
          </w:tcPr>
          <w:p w14:paraId="4FE19C7C">
            <w:pPr>
              <w:numPr>
                <w:ilvl w:val="0"/>
                <w:numId w:val="12"/>
              </w:numPr>
              <w:spacing w:line="430" w:lineRule="exact"/>
              <w:ind w:firstLine="210" w:firstLineChars="100"/>
              <w:rPr>
                <w:color w:val="auto"/>
                <w:highlight w:val="none"/>
              </w:rPr>
            </w:pPr>
            <w:r>
              <w:rPr>
                <w:rFonts w:hint="eastAsia"/>
                <w:color w:val="auto"/>
                <w:highlight w:val="none"/>
              </w:rPr>
              <w:t>评标委员会根据综合评分对投标文件从高到低进行排序，依次推荐得分高的前三名为中标候选人。评分相同时，报价低者优先。评分、报价均相同时，</w:t>
            </w:r>
            <w:r>
              <w:rPr>
                <w:color w:val="auto"/>
                <w:szCs w:val="21"/>
                <w:highlight w:val="none"/>
              </w:rPr>
              <w:t>由评标委员会全体成员按照少数服从多数的原则，以记名投票方式表决</w:t>
            </w:r>
            <w:r>
              <w:rPr>
                <w:rFonts w:hint="eastAsia"/>
                <w:color w:val="auto"/>
                <w:highlight w:val="none"/>
              </w:rPr>
              <w:t>。</w:t>
            </w:r>
          </w:p>
          <w:p w14:paraId="302BFEF1">
            <w:pPr>
              <w:spacing w:line="430" w:lineRule="exact"/>
              <w:ind w:firstLine="210" w:firstLineChars="100"/>
              <w:rPr>
                <w:rFonts w:ascii="宋体" w:cs="宋体"/>
                <w:color w:val="auto"/>
                <w:kern w:val="0"/>
                <w:szCs w:val="21"/>
                <w:highlight w:val="none"/>
              </w:rPr>
            </w:pPr>
            <w:r>
              <w:rPr>
                <w:rFonts w:hint="eastAsia"/>
                <w:color w:val="auto"/>
                <w:highlight w:val="none"/>
              </w:rPr>
              <w:t>2.经评审，通过形式评审、资格评审、响应性评审的投标人少于三家时，招标人将重新招标。</w:t>
            </w:r>
          </w:p>
        </w:tc>
      </w:tr>
      <w:tr w14:paraId="20DED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709" w:type="dxa"/>
            <w:vMerge w:val="restart"/>
            <w:tcBorders>
              <w:right w:val="single" w:color="auto" w:sz="4" w:space="0"/>
            </w:tcBorders>
            <w:vAlign w:val="center"/>
          </w:tcPr>
          <w:p w14:paraId="073F7245">
            <w:pPr>
              <w:adjustRightInd w:val="0"/>
              <w:snapToGrid w:val="0"/>
              <w:spacing w:line="430" w:lineRule="atLeast"/>
              <w:rPr>
                <w:color w:val="auto"/>
                <w:szCs w:val="21"/>
                <w:highlight w:val="none"/>
              </w:rPr>
            </w:pPr>
            <w:r>
              <w:rPr>
                <w:color w:val="auto"/>
                <w:szCs w:val="21"/>
                <w:highlight w:val="none"/>
              </w:rPr>
              <w:t>2.1.1</w:t>
            </w:r>
          </w:p>
        </w:tc>
        <w:tc>
          <w:tcPr>
            <w:tcW w:w="962" w:type="dxa"/>
            <w:vMerge w:val="restart"/>
            <w:tcBorders>
              <w:left w:val="single" w:color="auto" w:sz="4" w:space="0"/>
            </w:tcBorders>
            <w:vAlign w:val="center"/>
          </w:tcPr>
          <w:p w14:paraId="02AF41A2">
            <w:pPr>
              <w:adjustRightInd w:val="0"/>
              <w:snapToGrid w:val="0"/>
              <w:spacing w:line="430" w:lineRule="atLeast"/>
              <w:jc w:val="center"/>
              <w:rPr>
                <w:color w:val="auto"/>
                <w:szCs w:val="21"/>
                <w:highlight w:val="none"/>
              </w:rPr>
            </w:pPr>
            <w:r>
              <w:rPr>
                <w:color w:val="auto"/>
                <w:szCs w:val="21"/>
                <w:highlight w:val="none"/>
              </w:rPr>
              <w:t>形</w:t>
            </w:r>
          </w:p>
          <w:p w14:paraId="73446F6C">
            <w:pPr>
              <w:adjustRightInd w:val="0"/>
              <w:snapToGrid w:val="0"/>
              <w:spacing w:line="430" w:lineRule="atLeast"/>
              <w:jc w:val="center"/>
              <w:rPr>
                <w:color w:val="auto"/>
                <w:szCs w:val="21"/>
                <w:highlight w:val="none"/>
              </w:rPr>
            </w:pPr>
            <w:r>
              <w:rPr>
                <w:color w:val="auto"/>
                <w:szCs w:val="21"/>
                <w:highlight w:val="none"/>
              </w:rPr>
              <w:t>式</w:t>
            </w:r>
          </w:p>
          <w:p w14:paraId="6B0939FA">
            <w:pPr>
              <w:adjustRightInd w:val="0"/>
              <w:snapToGrid w:val="0"/>
              <w:spacing w:line="430" w:lineRule="atLeast"/>
              <w:jc w:val="center"/>
              <w:rPr>
                <w:color w:val="auto"/>
                <w:szCs w:val="21"/>
                <w:highlight w:val="none"/>
              </w:rPr>
            </w:pPr>
            <w:r>
              <w:rPr>
                <w:color w:val="auto"/>
                <w:szCs w:val="21"/>
                <w:highlight w:val="none"/>
              </w:rPr>
              <w:t>评</w:t>
            </w:r>
          </w:p>
          <w:p w14:paraId="76582CEC">
            <w:pPr>
              <w:adjustRightInd w:val="0"/>
              <w:snapToGrid w:val="0"/>
              <w:spacing w:line="430" w:lineRule="atLeast"/>
              <w:jc w:val="center"/>
              <w:rPr>
                <w:color w:val="auto"/>
                <w:szCs w:val="21"/>
                <w:highlight w:val="none"/>
              </w:rPr>
            </w:pPr>
            <w:r>
              <w:rPr>
                <w:color w:val="auto"/>
                <w:szCs w:val="21"/>
                <w:highlight w:val="none"/>
              </w:rPr>
              <w:t>审</w:t>
            </w:r>
          </w:p>
          <w:p w14:paraId="1ECDDCBD">
            <w:pPr>
              <w:adjustRightInd w:val="0"/>
              <w:snapToGrid w:val="0"/>
              <w:spacing w:line="430" w:lineRule="atLeast"/>
              <w:jc w:val="center"/>
              <w:rPr>
                <w:color w:val="auto"/>
                <w:szCs w:val="21"/>
                <w:highlight w:val="none"/>
              </w:rPr>
            </w:pPr>
            <w:r>
              <w:rPr>
                <w:color w:val="auto"/>
                <w:szCs w:val="21"/>
                <w:highlight w:val="none"/>
              </w:rPr>
              <w:t>标</w:t>
            </w:r>
          </w:p>
          <w:p w14:paraId="0CF2B1E9">
            <w:pPr>
              <w:adjustRightInd w:val="0"/>
              <w:snapToGrid w:val="0"/>
              <w:spacing w:line="430" w:lineRule="atLeast"/>
              <w:jc w:val="center"/>
              <w:rPr>
                <w:color w:val="auto"/>
                <w:szCs w:val="21"/>
                <w:highlight w:val="none"/>
              </w:rPr>
            </w:pPr>
            <w:r>
              <w:rPr>
                <w:color w:val="auto"/>
                <w:szCs w:val="21"/>
                <w:highlight w:val="none"/>
              </w:rPr>
              <w:t>准</w:t>
            </w:r>
          </w:p>
          <w:p w14:paraId="7556B1A6">
            <w:pPr>
              <w:adjustRightInd w:val="0"/>
              <w:snapToGrid w:val="0"/>
              <w:spacing w:line="430" w:lineRule="atLeast"/>
              <w:jc w:val="center"/>
              <w:rPr>
                <w:color w:val="auto"/>
                <w:szCs w:val="21"/>
                <w:highlight w:val="none"/>
              </w:rPr>
            </w:pPr>
          </w:p>
        </w:tc>
        <w:tc>
          <w:tcPr>
            <w:tcW w:w="1740" w:type="dxa"/>
            <w:vAlign w:val="center"/>
          </w:tcPr>
          <w:p w14:paraId="7EC9ED8C">
            <w:pPr>
              <w:adjustRightInd w:val="0"/>
              <w:snapToGrid w:val="0"/>
              <w:spacing w:line="430" w:lineRule="atLeast"/>
              <w:jc w:val="center"/>
              <w:rPr>
                <w:color w:val="auto"/>
                <w:szCs w:val="21"/>
                <w:highlight w:val="none"/>
              </w:rPr>
            </w:pPr>
            <w:r>
              <w:rPr>
                <w:color w:val="auto"/>
                <w:szCs w:val="21"/>
                <w:highlight w:val="none"/>
              </w:rPr>
              <w:t>投标人名称</w:t>
            </w:r>
          </w:p>
        </w:tc>
        <w:tc>
          <w:tcPr>
            <w:tcW w:w="5803" w:type="dxa"/>
            <w:vAlign w:val="center"/>
          </w:tcPr>
          <w:p w14:paraId="54EFE235">
            <w:pPr>
              <w:adjustRightInd w:val="0"/>
              <w:snapToGrid w:val="0"/>
              <w:spacing w:line="430" w:lineRule="atLeast"/>
              <w:jc w:val="left"/>
              <w:rPr>
                <w:rFonts w:ascii="宋体" w:cs="宋体"/>
                <w:color w:val="auto"/>
                <w:kern w:val="0"/>
                <w:szCs w:val="21"/>
                <w:highlight w:val="none"/>
              </w:rPr>
            </w:pPr>
            <w:r>
              <w:rPr>
                <w:rFonts w:hint="eastAsia" w:ascii="宋体" w:cs="宋体"/>
                <w:color w:val="auto"/>
                <w:kern w:val="0"/>
                <w:szCs w:val="21"/>
                <w:highlight w:val="none"/>
              </w:rPr>
              <w:t>营业执照注册名称与</w:t>
            </w:r>
            <w:r>
              <w:rPr>
                <w:rFonts w:hint="eastAsia" w:ascii="宋体" w:cs="宋体"/>
                <w:color w:val="auto"/>
                <w:kern w:val="0"/>
                <w:szCs w:val="21"/>
                <w:highlight w:val="none"/>
                <w:lang w:val="en-US" w:eastAsia="zh-CN"/>
              </w:rPr>
              <w:t>投标文件</w:t>
            </w:r>
            <w:r>
              <w:rPr>
                <w:rFonts w:hint="eastAsia" w:ascii="宋体" w:cs="宋体"/>
                <w:color w:val="auto"/>
                <w:kern w:val="0"/>
                <w:szCs w:val="21"/>
                <w:highlight w:val="none"/>
              </w:rPr>
              <w:t>一致</w:t>
            </w:r>
          </w:p>
        </w:tc>
      </w:tr>
      <w:tr w14:paraId="30A9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6" w:hRule="atLeast"/>
          <w:jc w:val="center"/>
        </w:trPr>
        <w:tc>
          <w:tcPr>
            <w:tcW w:w="709" w:type="dxa"/>
            <w:vMerge w:val="continue"/>
            <w:tcBorders>
              <w:right w:val="single" w:color="auto" w:sz="4" w:space="0"/>
            </w:tcBorders>
            <w:vAlign w:val="center"/>
          </w:tcPr>
          <w:p w14:paraId="3EF19319">
            <w:pPr>
              <w:adjustRightInd w:val="0"/>
              <w:snapToGrid w:val="0"/>
              <w:spacing w:line="430" w:lineRule="atLeast"/>
              <w:rPr>
                <w:color w:val="auto"/>
                <w:szCs w:val="21"/>
                <w:highlight w:val="none"/>
              </w:rPr>
            </w:pPr>
          </w:p>
        </w:tc>
        <w:tc>
          <w:tcPr>
            <w:tcW w:w="962" w:type="dxa"/>
            <w:vMerge w:val="continue"/>
            <w:tcBorders>
              <w:left w:val="single" w:color="auto" w:sz="4" w:space="0"/>
            </w:tcBorders>
            <w:vAlign w:val="center"/>
          </w:tcPr>
          <w:p w14:paraId="45AD8850">
            <w:pPr>
              <w:adjustRightInd w:val="0"/>
              <w:snapToGrid w:val="0"/>
              <w:spacing w:line="430" w:lineRule="atLeast"/>
              <w:jc w:val="center"/>
              <w:rPr>
                <w:color w:val="auto"/>
                <w:szCs w:val="21"/>
                <w:highlight w:val="none"/>
              </w:rPr>
            </w:pPr>
          </w:p>
        </w:tc>
        <w:tc>
          <w:tcPr>
            <w:tcW w:w="1740" w:type="dxa"/>
            <w:vAlign w:val="center"/>
          </w:tcPr>
          <w:p w14:paraId="5D35EC7F">
            <w:pPr>
              <w:spacing w:line="430" w:lineRule="exact"/>
              <w:jc w:val="center"/>
              <w:rPr>
                <w:color w:val="auto"/>
                <w:szCs w:val="21"/>
                <w:highlight w:val="none"/>
              </w:rPr>
            </w:pPr>
            <w:r>
              <w:rPr>
                <w:rFonts w:hint="eastAsia" w:ascii="宋体" w:hAnsi="宋体" w:cs="宋体"/>
                <w:color w:val="auto"/>
                <w:szCs w:val="21"/>
                <w:highlight w:val="none"/>
              </w:rPr>
              <w:t>投标函签字盖章</w:t>
            </w:r>
          </w:p>
        </w:tc>
        <w:tc>
          <w:tcPr>
            <w:tcW w:w="5803" w:type="dxa"/>
            <w:vAlign w:val="center"/>
          </w:tcPr>
          <w:p w14:paraId="6A6E90B2">
            <w:pPr>
              <w:spacing w:line="430" w:lineRule="exact"/>
              <w:rPr>
                <w:rFonts w:hint="eastAsia" w:ascii="宋体" w:eastAsia="宋体" w:cs="宋体"/>
                <w:color w:val="auto"/>
                <w:kern w:val="0"/>
                <w:szCs w:val="21"/>
                <w:highlight w:val="none"/>
                <w:lang w:eastAsia="zh-CN"/>
              </w:rPr>
            </w:pPr>
            <w:r>
              <w:rPr>
                <w:rFonts w:hint="eastAsia" w:ascii="宋体" w:hAnsi="宋体" w:cs="宋体"/>
                <w:color w:val="auto"/>
                <w:szCs w:val="21"/>
                <w:highlight w:val="none"/>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r>
              <w:rPr>
                <w:rFonts w:hint="eastAsia" w:ascii="宋体" w:hAnsi="宋体" w:cs="宋体"/>
                <w:color w:val="auto"/>
                <w:szCs w:val="21"/>
                <w:highlight w:val="none"/>
                <w:lang w:eastAsia="zh-CN"/>
              </w:rPr>
              <w:t>。</w:t>
            </w:r>
          </w:p>
        </w:tc>
      </w:tr>
      <w:tr w14:paraId="54C64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709" w:type="dxa"/>
            <w:vMerge w:val="continue"/>
            <w:tcBorders>
              <w:right w:val="single" w:color="auto" w:sz="4" w:space="0"/>
            </w:tcBorders>
            <w:vAlign w:val="center"/>
          </w:tcPr>
          <w:p w14:paraId="344674AE">
            <w:pPr>
              <w:adjustRightInd w:val="0"/>
              <w:snapToGrid w:val="0"/>
              <w:spacing w:line="430" w:lineRule="atLeast"/>
              <w:rPr>
                <w:color w:val="auto"/>
                <w:szCs w:val="21"/>
                <w:highlight w:val="none"/>
              </w:rPr>
            </w:pPr>
          </w:p>
        </w:tc>
        <w:tc>
          <w:tcPr>
            <w:tcW w:w="962" w:type="dxa"/>
            <w:vMerge w:val="continue"/>
            <w:tcBorders>
              <w:left w:val="single" w:color="auto" w:sz="4" w:space="0"/>
            </w:tcBorders>
            <w:vAlign w:val="center"/>
          </w:tcPr>
          <w:p w14:paraId="67B60EB4">
            <w:pPr>
              <w:adjustRightInd w:val="0"/>
              <w:snapToGrid w:val="0"/>
              <w:spacing w:line="430" w:lineRule="atLeast"/>
              <w:jc w:val="center"/>
              <w:rPr>
                <w:color w:val="auto"/>
                <w:szCs w:val="21"/>
                <w:highlight w:val="none"/>
              </w:rPr>
            </w:pPr>
          </w:p>
        </w:tc>
        <w:tc>
          <w:tcPr>
            <w:tcW w:w="1740" w:type="dxa"/>
            <w:vAlign w:val="center"/>
          </w:tcPr>
          <w:p w14:paraId="4E308995">
            <w:pPr>
              <w:adjustRightInd w:val="0"/>
              <w:snapToGrid w:val="0"/>
              <w:spacing w:line="430" w:lineRule="atLeast"/>
              <w:jc w:val="center"/>
              <w:rPr>
                <w:color w:val="auto"/>
                <w:szCs w:val="21"/>
                <w:highlight w:val="none"/>
              </w:rPr>
            </w:pPr>
            <w:r>
              <w:rPr>
                <w:color w:val="auto"/>
                <w:szCs w:val="21"/>
                <w:highlight w:val="none"/>
              </w:rPr>
              <w:t>投标文件格式</w:t>
            </w:r>
          </w:p>
        </w:tc>
        <w:tc>
          <w:tcPr>
            <w:tcW w:w="5803" w:type="dxa"/>
            <w:vAlign w:val="center"/>
          </w:tcPr>
          <w:p w14:paraId="57FEFFE9">
            <w:pPr>
              <w:adjustRightInd w:val="0"/>
              <w:snapToGrid w:val="0"/>
              <w:spacing w:line="430" w:lineRule="atLeast"/>
              <w:rPr>
                <w:color w:val="auto"/>
                <w:szCs w:val="21"/>
                <w:highlight w:val="none"/>
              </w:rPr>
            </w:pPr>
            <w:r>
              <w:rPr>
                <w:rFonts w:hint="eastAsia"/>
                <w:color w:val="auto"/>
                <w:szCs w:val="21"/>
                <w:highlight w:val="none"/>
              </w:rPr>
              <w:t>符合</w:t>
            </w:r>
            <w:r>
              <w:rPr>
                <w:color w:val="auto"/>
                <w:szCs w:val="21"/>
                <w:highlight w:val="none"/>
              </w:rPr>
              <w:t>第六章“</w:t>
            </w:r>
            <w:r>
              <w:rPr>
                <w:rFonts w:hint="eastAsia"/>
                <w:color w:val="auto"/>
                <w:szCs w:val="21"/>
                <w:highlight w:val="none"/>
              </w:rPr>
              <w:t>投标</w:t>
            </w:r>
            <w:r>
              <w:rPr>
                <w:color w:val="auto"/>
                <w:szCs w:val="21"/>
                <w:highlight w:val="none"/>
              </w:rPr>
              <w:t>文件格式”</w:t>
            </w:r>
            <w:r>
              <w:rPr>
                <w:rFonts w:hint="eastAsia"/>
                <w:color w:val="auto"/>
                <w:szCs w:val="21"/>
                <w:highlight w:val="none"/>
              </w:rPr>
              <w:t>的规定</w:t>
            </w:r>
          </w:p>
        </w:tc>
      </w:tr>
      <w:tr w14:paraId="35420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4" w:hRule="atLeast"/>
          <w:jc w:val="center"/>
        </w:trPr>
        <w:tc>
          <w:tcPr>
            <w:tcW w:w="709" w:type="dxa"/>
            <w:vMerge w:val="restart"/>
            <w:vAlign w:val="center"/>
          </w:tcPr>
          <w:p w14:paraId="149FC925">
            <w:pPr>
              <w:adjustRightInd w:val="0"/>
              <w:snapToGrid w:val="0"/>
              <w:spacing w:line="430" w:lineRule="atLeast"/>
              <w:jc w:val="center"/>
              <w:rPr>
                <w:color w:val="auto"/>
                <w:szCs w:val="21"/>
                <w:highlight w:val="none"/>
              </w:rPr>
            </w:pPr>
            <w:r>
              <w:rPr>
                <w:color w:val="auto"/>
                <w:szCs w:val="21"/>
                <w:highlight w:val="none"/>
              </w:rPr>
              <w:t>2.1.2</w:t>
            </w:r>
          </w:p>
        </w:tc>
        <w:tc>
          <w:tcPr>
            <w:tcW w:w="962" w:type="dxa"/>
            <w:vMerge w:val="restart"/>
            <w:vAlign w:val="center"/>
          </w:tcPr>
          <w:p w14:paraId="2839C2AA">
            <w:pPr>
              <w:adjustRightInd w:val="0"/>
              <w:snapToGrid w:val="0"/>
              <w:spacing w:line="430" w:lineRule="atLeast"/>
              <w:jc w:val="center"/>
              <w:rPr>
                <w:color w:val="auto"/>
                <w:szCs w:val="21"/>
                <w:highlight w:val="none"/>
              </w:rPr>
            </w:pPr>
            <w:r>
              <w:rPr>
                <w:color w:val="auto"/>
                <w:szCs w:val="21"/>
                <w:highlight w:val="none"/>
              </w:rPr>
              <w:t>资</w:t>
            </w:r>
          </w:p>
          <w:p w14:paraId="18EF46FB">
            <w:pPr>
              <w:adjustRightInd w:val="0"/>
              <w:snapToGrid w:val="0"/>
              <w:spacing w:line="430" w:lineRule="atLeast"/>
              <w:jc w:val="center"/>
              <w:rPr>
                <w:color w:val="auto"/>
                <w:szCs w:val="21"/>
                <w:highlight w:val="none"/>
              </w:rPr>
            </w:pPr>
            <w:r>
              <w:rPr>
                <w:color w:val="auto"/>
                <w:szCs w:val="21"/>
                <w:highlight w:val="none"/>
              </w:rPr>
              <w:t>格</w:t>
            </w:r>
          </w:p>
          <w:p w14:paraId="5DE67A79">
            <w:pPr>
              <w:adjustRightInd w:val="0"/>
              <w:snapToGrid w:val="0"/>
              <w:spacing w:line="430" w:lineRule="atLeast"/>
              <w:jc w:val="center"/>
              <w:rPr>
                <w:color w:val="auto"/>
                <w:szCs w:val="21"/>
                <w:highlight w:val="none"/>
              </w:rPr>
            </w:pPr>
            <w:r>
              <w:rPr>
                <w:color w:val="auto"/>
                <w:szCs w:val="21"/>
                <w:highlight w:val="none"/>
              </w:rPr>
              <w:t>评</w:t>
            </w:r>
          </w:p>
          <w:p w14:paraId="3EE6BD25">
            <w:pPr>
              <w:adjustRightInd w:val="0"/>
              <w:snapToGrid w:val="0"/>
              <w:spacing w:line="430" w:lineRule="atLeast"/>
              <w:jc w:val="center"/>
              <w:rPr>
                <w:color w:val="auto"/>
                <w:szCs w:val="21"/>
                <w:highlight w:val="none"/>
              </w:rPr>
            </w:pPr>
            <w:r>
              <w:rPr>
                <w:color w:val="auto"/>
                <w:szCs w:val="21"/>
                <w:highlight w:val="none"/>
              </w:rPr>
              <w:t>审</w:t>
            </w:r>
          </w:p>
          <w:p w14:paraId="7ECF9FA7">
            <w:pPr>
              <w:adjustRightInd w:val="0"/>
              <w:snapToGrid w:val="0"/>
              <w:spacing w:line="430" w:lineRule="atLeast"/>
              <w:jc w:val="center"/>
              <w:rPr>
                <w:color w:val="auto"/>
                <w:szCs w:val="21"/>
                <w:highlight w:val="none"/>
              </w:rPr>
            </w:pPr>
            <w:r>
              <w:rPr>
                <w:color w:val="auto"/>
                <w:szCs w:val="21"/>
                <w:highlight w:val="none"/>
              </w:rPr>
              <w:t>标</w:t>
            </w:r>
          </w:p>
          <w:p w14:paraId="0756476C">
            <w:pPr>
              <w:adjustRightInd w:val="0"/>
              <w:snapToGrid w:val="0"/>
              <w:spacing w:line="430" w:lineRule="atLeast"/>
              <w:jc w:val="center"/>
              <w:rPr>
                <w:color w:val="auto"/>
                <w:szCs w:val="21"/>
                <w:highlight w:val="none"/>
              </w:rPr>
            </w:pPr>
            <w:r>
              <w:rPr>
                <w:color w:val="auto"/>
                <w:szCs w:val="21"/>
                <w:highlight w:val="none"/>
              </w:rPr>
              <w:t>准</w:t>
            </w:r>
          </w:p>
        </w:tc>
        <w:tc>
          <w:tcPr>
            <w:tcW w:w="1740" w:type="dxa"/>
            <w:vAlign w:val="center"/>
          </w:tcPr>
          <w:p w14:paraId="40B31D93">
            <w:pPr>
              <w:adjustRightInd w:val="0"/>
              <w:snapToGrid w:val="0"/>
              <w:spacing w:line="430" w:lineRule="atLeas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营业执照</w:t>
            </w:r>
            <w:r>
              <w:rPr>
                <w:rFonts w:hint="eastAsia" w:ascii="宋体" w:hAnsi="宋体" w:cs="宋体"/>
                <w:bCs/>
                <w:color w:val="auto"/>
                <w:szCs w:val="21"/>
                <w:highlight w:val="none"/>
                <w:lang w:val="en-US" w:eastAsia="zh-CN"/>
              </w:rPr>
              <w:t>及开户许可证</w:t>
            </w:r>
            <w:r>
              <w:rPr>
                <w:rFonts w:hint="eastAsia" w:ascii="宋体" w:hAnsi="宋体" w:cs="宋体"/>
                <w:b w:val="0"/>
                <w:bCs/>
                <w:color w:val="auto"/>
                <w:szCs w:val="21"/>
                <w:highlight w:val="none"/>
                <w:lang w:val="en-US" w:eastAsia="zh-CN"/>
              </w:rPr>
              <w:t>或基本存款账户信息</w:t>
            </w:r>
          </w:p>
        </w:tc>
        <w:tc>
          <w:tcPr>
            <w:tcW w:w="5803" w:type="dxa"/>
            <w:vAlign w:val="center"/>
          </w:tcPr>
          <w:p w14:paraId="056816EA">
            <w:pPr>
              <w:adjustRightInd w:val="0"/>
              <w:snapToGrid w:val="0"/>
              <w:spacing w:line="360" w:lineRule="auto"/>
              <w:jc w:val="lef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拟参加本项目的潜在投标人应在中华人民共和国境内注册，具有独立承担民事责任的能力，具备有效的营业执照，开户许可证或基本存款账户信息，并在人员、设备、资金、技术等方面具有履行合同所必须的能力。</w:t>
            </w:r>
          </w:p>
          <w:p w14:paraId="29254C21">
            <w:pPr>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 w:val="0"/>
                <w:bCs/>
                <w:color w:val="auto"/>
                <w:szCs w:val="21"/>
                <w:highlight w:val="none"/>
              </w:rPr>
              <w:t>查询方式：以投标文件中载明的扫描件或复印件为准。</w:t>
            </w:r>
          </w:p>
        </w:tc>
      </w:tr>
      <w:tr w14:paraId="0E4D7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4" w:hRule="atLeast"/>
          <w:jc w:val="center"/>
        </w:trPr>
        <w:tc>
          <w:tcPr>
            <w:tcW w:w="709" w:type="dxa"/>
            <w:vMerge w:val="continue"/>
            <w:vAlign w:val="center"/>
          </w:tcPr>
          <w:p w14:paraId="21A8D460">
            <w:pPr>
              <w:adjustRightInd w:val="0"/>
              <w:snapToGrid w:val="0"/>
              <w:spacing w:line="430" w:lineRule="atLeast"/>
              <w:jc w:val="center"/>
              <w:rPr>
                <w:color w:val="auto"/>
                <w:szCs w:val="21"/>
                <w:highlight w:val="none"/>
              </w:rPr>
            </w:pPr>
          </w:p>
        </w:tc>
        <w:tc>
          <w:tcPr>
            <w:tcW w:w="962" w:type="dxa"/>
            <w:vMerge w:val="continue"/>
            <w:vAlign w:val="center"/>
          </w:tcPr>
          <w:p w14:paraId="61834747">
            <w:pPr>
              <w:adjustRightInd w:val="0"/>
              <w:snapToGrid w:val="0"/>
              <w:spacing w:line="430" w:lineRule="atLeast"/>
              <w:jc w:val="center"/>
              <w:rPr>
                <w:color w:val="auto"/>
                <w:szCs w:val="21"/>
                <w:highlight w:val="none"/>
              </w:rPr>
            </w:pPr>
          </w:p>
        </w:tc>
        <w:tc>
          <w:tcPr>
            <w:tcW w:w="1740" w:type="dxa"/>
            <w:vAlign w:val="center"/>
          </w:tcPr>
          <w:p w14:paraId="7DB0456F">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cs="宋体"/>
                <w:bCs/>
                <w:color w:val="auto"/>
                <w:szCs w:val="21"/>
                <w:highlight w:val="none"/>
              </w:rPr>
            </w:pPr>
            <w:r>
              <w:rPr>
                <w:rFonts w:ascii="宋体" w:hAnsi="宋体" w:cs="宋体"/>
                <w:color w:val="auto"/>
                <w:sz w:val="21"/>
                <w:szCs w:val="21"/>
              </w:rPr>
              <w:t>制造商要求</w:t>
            </w:r>
          </w:p>
        </w:tc>
        <w:tc>
          <w:tcPr>
            <w:tcW w:w="5803" w:type="dxa"/>
            <w:vAlign w:val="center"/>
          </w:tcPr>
          <w:p w14:paraId="647AB815">
            <w:pPr>
              <w:spacing w:line="430" w:lineRule="exact"/>
              <w:ind w:firstLine="420" w:firstLineChars="200"/>
              <w:rPr>
                <w:rFonts w:hint="eastAsia" w:ascii="宋体" w:hAnsi="宋体" w:cs="宋体"/>
                <w:b w:val="0"/>
                <w:bCs/>
                <w:color w:val="auto"/>
                <w:szCs w:val="21"/>
                <w:highlight w:val="none"/>
              </w:rPr>
            </w:pPr>
            <w:r>
              <w:rPr>
                <w:rFonts w:hint="eastAsia" w:ascii="宋体" w:hAnsi="宋体" w:cs="宋体"/>
                <w:color w:val="auto"/>
                <w:sz w:val="21"/>
                <w:szCs w:val="21"/>
                <w:lang w:eastAsia="zh-CN"/>
              </w:rPr>
              <w:t>投标人如为电梯制造企业须具备市级及以上质量技术监督局（或市场监督管理局）核发的中华人民共和国特种设备生产许可证（电梯制造含曳引驱动乘客电梯）或中华人民共和国特种设备制造许可证（含曳引驱动乘客电梯B级及以上）；同时具备市级及以上质量技术监督局（或市场监督管理局）核发的中华人民共和国特种设备安装改造维修许可证（电梯）B级及以上资质。如制造商电梯生产许可证含电梯安装资质的，可不用再单独提供电梯安装资质</w:t>
            </w:r>
            <w:r>
              <w:rPr>
                <w:rFonts w:hint="eastAsia" w:ascii="宋体" w:hAnsi="宋体" w:cs="宋体"/>
                <w:color w:val="auto"/>
                <w:sz w:val="21"/>
                <w:szCs w:val="21"/>
              </w:rPr>
              <w:t>。</w:t>
            </w:r>
          </w:p>
        </w:tc>
      </w:tr>
      <w:tr w14:paraId="7AD6B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4" w:hRule="atLeast"/>
          <w:jc w:val="center"/>
        </w:trPr>
        <w:tc>
          <w:tcPr>
            <w:tcW w:w="709" w:type="dxa"/>
            <w:vMerge w:val="continue"/>
            <w:vAlign w:val="center"/>
          </w:tcPr>
          <w:p w14:paraId="6A17BECE">
            <w:pPr>
              <w:adjustRightInd w:val="0"/>
              <w:snapToGrid w:val="0"/>
              <w:spacing w:line="430" w:lineRule="atLeast"/>
              <w:jc w:val="center"/>
              <w:rPr>
                <w:color w:val="auto"/>
                <w:szCs w:val="21"/>
                <w:highlight w:val="none"/>
              </w:rPr>
            </w:pPr>
          </w:p>
        </w:tc>
        <w:tc>
          <w:tcPr>
            <w:tcW w:w="962" w:type="dxa"/>
            <w:vMerge w:val="continue"/>
            <w:vAlign w:val="center"/>
          </w:tcPr>
          <w:p w14:paraId="01996915">
            <w:pPr>
              <w:adjustRightInd w:val="0"/>
              <w:snapToGrid w:val="0"/>
              <w:spacing w:line="430" w:lineRule="atLeast"/>
              <w:jc w:val="center"/>
              <w:rPr>
                <w:color w:val="auto"/>
                <w:szCs w:val="21"/>
                <w:highlight w:val="none"/>
              </w:rPr>
            </w:pPr>
          </w:p>
        </w:tc>
        <w:tc>
          <w:tcPr>
            <w:tcW w:w="1740" w:type="dxa"/>
            <w:vAlign w:val="center"/>
          </w:tcPr>
          <w:p w14:paraId="181FB5F3">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cs="宋体"/>
                <w:bCs/>
                <w:color w:val="auto"/>
                <w:szCs w:val="21"/>
                <w:highlight w:val="none"/>
              </w:rPr>
            </w:pPr>
            <w:r>
              <w:rPr>
                <w:rFonts w:hint="eastAsia" w:ascii="宋体" w:hAnsi="宋体" w:cs="宋体"/>
                <w:color w:val="auto"/>
                <w:szCs w:val="21"/>
              </w:rPr>
              <w:t>代理商要求</w:t>
            </w:r>
          </w:p>
        </w:tc>
        <w:tc>
          <w:tcPr>
            <w:tcW w:w="5803" w:type="dxa"/>
            <w:vAlign w:val="center"/>
          </w:tcPr>
          <w:p w14:paraId="3BC5775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宋体"/>
                <w:b w:val="0"/>
                <w:bCs/>
                <w:color w:val="auto"/>
                <w:szCs w:val="21"/>
                <w:highlight w:val="none"/>
              </w:rPr>
            </w:pPr>
            <w:r>
              <w:rPr>
                <w:rFonts w:hint="eastAsia" w:ascii="宋体" w:hAnsi="宋体" w:cs="宋体"/>
                <w:color w:val="auto"/>
                <w:sz w:val="21"/>
                <w:szCs w:val="21"/>
                <w:lang w:eastAsia="zh-CN"/>
              </w:rPr>
              <w:t>如为代理商投标，所投电梯制造企业须具备市级及以上质量技术监督局（或市场监督管理局）核发的中华人民共和国特种设备生产许可证（电梯制造含曳引驱动乘客电梯）或中华人民共和国特种设备制造许可证（含曳引驱动乘客电梯B级及以上），同时代理商须具备市级及以上质量技术监督局（或市场监督管理局）核发的中华人民共和国特种设备生产许可证（含曳引驱动乘客电梯B级及以上）或中华人民共和国特种设备安装改造维修许可证（电梯）B级及以上资质</w:t>
            </w:r>
            <w:r>
              <w:rPr>
                <w:rFonts w:hint="eastAsia" w:ascii="宋体" w:hAnsi="宋体" w:cs="宋体"/>
                <w:color w:val="auto"/>
                <w:sz w:val="21"/>
                <w:szCs w:val="21"/>
              </w:rPr>
              <w:t>。</w:t>
            </w:r>
          </w:p>
        </w:tc>
      </w:tr>
      <w:tr w14:paraId="51F45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1" w:hRule="atLeast"/>
          <w:jc w:val="center"/>
        </w:trPr>
        <w:tc>
          <w:tcPr>
            <w:tcW w:w="709" w:type="dxa"/>
            <w:vMerge w:val="continue"/>
            <w:vAlign w:val="center"/>
          </w:tcPr>
          <w:p w14:paraId="248B07EB">
            <w:pPr>
              <w:adjustRightInd w:val="0"/>
              <w:snapToGrid w:val="0"/>
              <w:spacing w:line="430" w:lineRule="atLeast"/>
              <w:jc w:val="center"/>
              <w:rPr>
                <w:color w:val="auto"/>
                <w:szCs w:val="21"/>
                <w:highlight w:val="none"/>
              </w:rPr>
            </w:pPr>
          </w:p>
        </w:tc>
        <w:tc>
          <w:tcPr>
            <w:tcW w:w="962" w:type="dxa"/>
            <w:vMerge w:val="continue"/>
            <w:vAlign w:val="center"/>
          </w:tcPr>
          <w:p w14:paraId="261CFDC4">
            <w:pPr>
              <w:adjustRightInd w:val="0"/>
              <w:snapToGrid w:val="0"/>
              <w:spacing w:line="430" w:lineRule="atLeast"/>
              <w:jc w:val="center"/>
              <w:rPr>
                <w:color w:val="auto"/>
                <w:szCs w:val="21"/>
                <w:highlight w:val="none"/>
              </w:rPr>
            </w:pPr>
          </w:p>
        </w:tc>
        <w:tc>
          <w:tcPr>
            <w:tcW w:w="1740" w:type="dxa"/>
            <w:vAlign w:val="center"/>
          </w:tcPr>
          <w:p w14:paraId="6738F454">
            <w:pPr>
              <w:adjustRightInd w:val="0"/>
              <w:snapToGrid w:val="0"/>
              <w:spacing w:line="430" w:lineRule="atLeas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lang w:val="en-US" w:eastAsia="zh-CN"/>
              </w:rPr>
              <w:t>信誉要求</w:t>
            </w:r>
          </w:p>
        </w:tc>
        <w:tc>
          <w:tcPr>
            <w:tcW w:w="5803" w:type="dxa"/>
            <w:vAlign w:val="center"/>
          </w:tcPr>
          <w:p w14:paraId="2A6A960B">
            <w:pPr>
              <w:adjustRightInd w:val="0"/>
              <w:snapToGrid w:val="0"/>
              <w:spacing w:line="430" w:lineRule="atLeast"/>
              <w:jc w:val="left"/>
              <w:rPr>
                <w:rFonts w:hint="eastAsia" w:ascii="宋体" w:cs="宋体"/>
                <w:color w:val="auto"/>
                <w:kern w:val="0"/>
                <w:szCs w:val="21"/>
                <w:highlight w:val="none"/>
                <w:lang w:eastAsia="zh-CN"/>
              </w:rPr>
            </w:pPr>
            <w:r>
              <w:rPr>
                <w:rFonts w:hint="eastAsia" w:ascii="宋体" w:cs="宋体"/>
                <w:color w:val="auto"/>
                <w:kern w:val="0"/>
                <w:szCs w:val="21"/>
                <w:highlight w:val="none"/>
                <w:lang w:eastAsia="zh-CN"/>
              </w:rPr>
              <w:t>潜在投标人及法定代表人在“信用中国”网站（http://www.creditchina.gov.cn）中未被列入失信被执行人名单，以实际查询结果为准。</w:t>
            </w:r>
          </w:p>
          <w:p w14:paraId="028C1387">
            <w:pPr>
              <w:adjustRightInd w:val="0"/>
              <w:snapToGrid w:val="0"/>
              <w:spacing w:line="430" w:lineRule="atLeast"/>
              <w:jc w:val="left"/>
              <w:rPr>
                <w:rFonts w:hint="eastAsia" w:ascii="宋体" w:cs="宋体"/>
                <w:color w:val="auto"/>
                <w:kern w:val="0"/>
                <w:szCs w:val="21"/>
                <w:highlight w:val="none"/>
                <w:lang w:eastAsia="zh-CN"/>
              </w:rPr>
            </w:pPr>
            <w:r>
              <w:rPr>
                <w:rFonts w:hint="eastAsia" w:ascii="宋体" w:cs="宋体"/>
                <w:color w:val="auto"/>
                <w:kern w:val="0"/>
                <w:szCs w:val="21"/>
                <w:highlight w:val="none"/>
                <w:lang w:eastAsia="zh-CN"/>
              </w:rPr>
              <w:t>潜在投标人及法定代表人近三年内（202</w:t>
            </w: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eastAsia="zh-CN"/>
              </w:rPr>
              <w:t>年</w:t>
            </w:r>
            <w:r>
              <w:rPr>
                <w:rFonts w:hint="eastAsia" w:ascii="宋体" w:cs="宋体"/>
                <w:color w:val="auto"/>
                <w:kern w:val="0"/>
                <w:szCs w:val="21"/>
                <w:highlight w:val="none"/>
                <w:lang w:val="en-US" w:eastAsia="zh-CN"/>
              </w:rPr>
              <w:t>04</w:t>
            </w:r>
            <w:r>
              <w:rPr>
                <w:rFonts w:hint="eastAsia" w:ascii="宋体" w:cs="宋体"/>
                <w:color w:val="auto"/>
                <w:kern w:val="0"/>
                <w:szCs w:val="21"/>
                <w:highlight w:val="none"/>
                <w:lang w:eastAsia="zh-CN"/>
              </w:rPr>
              <w:t>月01日至响应文件递交截止日）没有行贿犯罪记录（行贿犯罪记录以中国裁判文书网http://wenshu.court.gov.cn/的实际查询结果为准）。</w:t>
            </w:r>
          </w:p>
          <w:p w14:paraId="21B8A5F4">
            <w:pPr>
              <w:adjustRightInd w:val="0"/>
              <w:snapToGrid w:val="0"/>
              <w:spacing w:line="430" w:lineRule="atLeast"/>
              <w:jc w:val="left"/>
              <w:rPr>
                <w:rFonts w:hint="eastAsia" w:ascii="宋体" w:cs="宋体"/>
                <w:color w:val="auto"/>
                <w:kern w:val="0"/>
                <w:szCs w:val="21"/>
                <w:highlight w:val="none"/>
                <w:lang w:eastAsia="zh-CN"/>
              </w:rPr>
            </w:pPr>
            <w:r>
              <w:rPr>
                <w:rFonts w:hint="eastAsia" w:ascii="宋体" w:cs="宋体"/>
                <w:color w:val="auto"/>
                <w:kern w:val="0"/>
                <w:szCs w:val="21"/>
                <w:highlight w:val="none"/>
                <w:lang w:eastAsia="zh-CN"/>
              </w:rPr>
              <w:t>拟参加本项目的潜在投标人未被列入严重违法失信企业名单及企业经营异常名录；以国家企业信用信息公示系统（http://www.gsxt.gov.cn/）实际查询结果为准，</w:t>
            </w:r>
            <w:r>
              <w:rPr>
                <w:rFonts w:hint="eastAsia" w:ascii="宋体" w:cs="宋体"/>
                <w:color w:val="auto"/>
                <w:kern w:val="0"/>
                <w:szCs w:val="21"/>
                <w:highlight w:val="none"/>
                <w:lang w:val="en-US" w:eastAsia="zh-CN"/>
              </w:rPr>
              <w:t>以网站</w:t>
            </w:r>
            <w:r>
              <w:rPr>
                <w:rFonts w:hint="eastAsia" w:ascii="宋体" w:cs="宋体"/>
                <w:color w:val="auto"/>
                <w:kern w:val="0"/>
                <w:szCs w:val="21"/>
                <w:highlight w:val="none"/>
                <w:lang w:eastAsia="zh-CN"/>
              </w:rPr>
              <w:t>查询结果为准。</w:t>
            </w:r>
          </w:p>
          <w:p w14:paraId="3638116A">
            <w:pPr>
              <w:pStyle w:val="57"/>
              <w:ind w:left="0" w:leftChars="0" w:firstLine="0" w:firstLineChars="0"/>
              <w:rPr>
                <w:rFonts w:hint="eastAsia"/>
              </w:rPr>
            </w:pPr>
            <w:r>
              <w:rPr>
                <w:rFonts w:hint="eastAsia" w:ascii="宋体" w:hAnsi="Times New Roman" w:eastAsia="宋体" w:cs="宋体"/>
                <w:b w:val="0"/>
                <w:bCs w:val="0"/>
                <w:color w:val="auto"/>
                <w:kern w:val="0"/>
                <w:sz w:val="21"/>
                <w:szCs w:val="21"/>
                <w:highlight w:val="none"/>
                <w:lang w:val="en-US" w:eastAsia="zh-CN" w:bidi="ar-SA"/>
              </w:rPr>
              <w:t>查询方式：投标文件中提供以上信用查询内容截图，如评标委员会对信用查询截图存在异议，以现场查询结果为准。</w:t>
            </w:r>
          </w:p>
        </w:tc>
      </w:tr>
      <w:tr w14:paraId="0A1E5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F7A7B8B">
            <w:pPr>
              <w:adjustRightInd w:val="0"/>
              <w:snapToGrid w:val="0"/>
              <w:spacing w:line="430" w:lineRule="atLeast"/>
              <w:jc w:val="center"/>
              <w:rPr>
                <w:color w:val="auto"/>
                <w:szCs w:val="21"/>
                <w:highlight w:val="none"/>
              </w:rPr>
            </w:pPr>
            <w:r>
              <w:rPr>
                <w:color w:val="auto"/>
                <w:szCs w:val="21"/>
                <w:highlight w:val="none"/>
              </w:rPr>
              <w:t>2.1.3</w:t>
            </w:r>
          </w:p>
        </w:tc>
        <w:tc>
          <w:tcPr>
            <w:tcW w:w="962" w:type="dxa"/>
            <w:vMerge w:val="restart"/>
            <w:vAlign w:val="center"/>
          </w:tcPr>
          <w:p w14:paraId="249B7B0B">
            <w:pPr>
              <w:adjustRightInd w:val="0"/>
              <w:snapToGrid w:val="0"/>
              <w:spacing w:line="430" w:lineRule="atLeast"/>
              <w:jc w:val="center"/>
              <w:rPr>
                <w:color w:val="auto"/>
                <w:szCs w:val="21"/>
                <w:highlight w:val="none"/>
              </w:rPr>
            </w:pPr>
            <w:r>
              <w:rPr>
                <w:color w:val="auto"/>
                <w:szCs w:val="21"/>
                <w:highlight w:val="none"/>
              </w:rPr>
              <w:t>响</w:t>
            </w:r>
          </w:p>
          <w:p w14:paraId="78E63DFA">
            <w:pPr>
              <w:adjustRightInd w:val="0"/>
              <w:snapToGrid w:val="0"/>
              <w:spacing w:line="430" w:lineRule="atLeast"/>
              <w:jc w:val="center"/>
              <w:rPr>
                <w:color w:val="auto"/>
                <w:szCs w:val="21"/>
                <w:highlight w:val="none"/>
              </w:rPr>
            </w:pPr>
            <w:r>
              <w:rPr>
                <w:color w:val="auto"/>
                <w:szCs w:val="21"/>
                <w:highlight w:val="none"/>
              </w:rPr>
              <w:t>应</w:t>
            </w:r>
          </w:p>
          <w:p w14:paraId="4755045F">
            <w:pPr>
              <w:adjustRightInd w:val="0"/>
              <w:snapToGrid w:val="0"/>
              <w:spacing w:line="430" w:lineRule="atLeast"/>
              <w:jc w:val="center"/>
              <w:rPr>
                <w:color w:val="auto"/>
                <w:szCs w:val="21"/>
                <w:highlight w:val="none"/>
              </w:rPr>
            </w:pPr>
            <w:r>
              <w:rPr>
                <w:color w:val="auto"/>
                <w:szCs w:val="21"/>
                <w:highlight w:val="none"/>
              </w:rPr>
              <w:t>性</w:t>
            </w:r>
          </w:p>
          <w:p w14:paraId="206083E5">
            <w:pPr>
              <w:adjustRightInd w:val="0"/>
              <w:snapToGrid w:val="0"/>
              <w:spacing w:line="430" w:lineRule="atLeast"/>
              <w:jc w:val="center"/>
              <w:rPr>
                <w:color w:val="auto"/>
                <w:szCs w:val="21"/>
                <w:highlight w:val="none"/>
              </w:rPr>
            </w:pPr>
            <w:r>
              <w:rPr>
                <w:color w:val="auto"/>
                <w:szCs w:val="21"/>
                <w:highlight w:val="none"/>
              </w:rPr>
              <w:t>评</w:t>
            </w:r>
          </w:p>
          <w:p w14:paraId="1698FE51">
            <w:pPr>
              <w:adjustRightInd w:val="0"/>
              <w:snapToGrid w:val="0"/>
              <w:spacing w:line="430" w:lineRule="atLeast"/>
              <w:jc w:val="center"/>
              <w:rPr>
                <w:color w:val="auto"/>
                <w:szCs w:val="21"/>
                <w:highlight w:val="none"/>
              </w:rPr>
            </w:pPr>
            <w:r>
              <w:rPr>
                <w:color w:val="auto"/>
                <w:szCs w:val="21"/>
                <w:highlight w:val="none"/>
              </w:rPr>
              <w:t>审</w:t>
            </w:r>
          </w:p>
          <w:p w14:paraId="2B012B4A">
            <w:pPr>
              <w:adjustRightInd w:val="0"/>
              <w:snapToGrid w:val="0"/>
              <w:spacing w:line="430" w:lineRule="atLeast"/>
              <w:jc w:val="center"/>
              <w:rPr>
                <w:color w:val="auto"/>
                <w:szCs w:val="21"/>
                <w:highlight w:val="none"/>
              </w:rPr>
            </w:pPr>
            <w:r>
              <w:rPr>
                <w:color w:val="auto"/>
                <w:szCs w:val="21"/>
                <w:highlight w:val="none"/>
              </w:rPr>
              <w:t>标</w:t>
            </w:r>
          </w:p>
          <w:p w14:paraId="4EDBD3FF">
            <w:pPr>
              <w:adjustRightInd w:val="0"/>
              <w:snapToGrid w:val="0"/>
              <w:spacing w:line="430" w:lineRule="atLeast"/>
              <w:jc w:val="center"/>
              <w:rPr>
                <w:color w:val="auto"/>
                <w:szCs w:val="21"/>
                <w:highlight w:val="none"/>
              </w:rPr>
            </w:pPr>
            <w:r>
              <w:rPr>
                <w:color w:val="auto"/>
                <w:szCs w:val="21"/>
                <w:highlight w:val="none"/>
              </w:rPr>
              <w:t>准</w:t>
            </w:r>
          </w:p>
        </w:tc>
        <w:tc>
          <w:tcPr>
            <w:tcW w:w="1740" w:type="dxa"/>
            <w:tcBorders>
              <w:top w:val="single" w:color="auto" w:sz="4" w:space="0"/>
            </w:tcBorders>
            <w:vAlign w:val="center"/>
          </w:tcPr>
          <w:p w14:paraId="2CE89203">
            <w:pPr>
              <w:adjustRightInd w:val="0"/>
              <w:snapToGrid w:val="0"/>
              <w:spacing w:line="430" w:lineRule="atLeast"/>
              <w:jc w:val="center"/>
              <w:rPr>
                <w:color w:val="auto"/>
                <w:szCs w:val="21"/>
                <w:highlight w:val="none"/>
              </w:rPr>
            </w:pPr>
            <w:r>
              <w:rPr>
                <w:rFonts w:hint="eastAsia"/>
                <w:color w:val="auto"/>
                <w:szCs w:val="21"/>
                <w:highlight w:val="none"/>
              </w:rPr>
              <w:t>投标报价</w:t>
            </w:r>
          </w:p>
        </w:tc>
        <w:tc>
          <w:tcPr>
            <w:tcW w:w="5803" w:type="dxa"/>
            <w:tcBorders>
              <w:top w:val="single" w:color="auto" w:sz="4" w:space="0"/>
            </w:tcBorders>
            <w:vAlign w:val="center"/>
          </w:tcPr>
          <w:p w14:paraId="008AD5A2">
            <w:pPr>
              <w:adjustRightInd w:val="0"/>
              <w:snapToGrid w:val="0"/>
              <w:spacing w:line="430" w:lineRule="atLeast"/>
              <w:rPr>
                <w:rFonts w:hint="eastAsia" w:eastAsia="宋体"/>
                <w:color w:val="auto"/>
                <w:szCs w:val="21"/>
                <w:highlight w:val="none"/>
                <w:lang w:eastAsia="zh-CN"/>
              </w:rPr>
            </w:pPr>
            <w:r>
              <w:rPr>
                <w:rFonts w:hint="eastAsia"/>
                <w:color w:val="auto"/>
                <w:szCs w:val="21"/>
                <w:highlight w:val="none"/>
              </w:rPr>
              <w:t>不超出本项目</w:t>
            </w:r>
            <w:r>
              <w:rPr>
                <w:color w:val="auto"/>
                <w:szCs w:val="21"/>
                <w:highlight w:val="none"/>
              </w:rPr>
              <w:t>最高投标限价</w:t>
            </w:r>
            <w:r>
              <w:rPr>
                <w:rFonts w:hint="eastAsia"/>
                <w:color w:val="auto"/>
                <w:szCs w:val="21"/>
                <w:highlight w:val="none"/>
                <w:lang w:eastAsia="zh-CN"/>
              </w:rPr>
              <w:t>。</w:t>
            </w:r>
          </w:p>
        </w:tc>
      </w:tr>
      <w:tr w14:paraId="4B4B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A456731">
            <w:pPr>
              <w:adjustRightInd w:val="0"/>
              <w:snapToGrid w:val="0"/>
              <w:spacing w:line="430" w:lineRule="atLeast"/>
              <w:jc w:val="center"/>
              <w:rPr>
                <w:color w:val="auto"/>
                <w:szCs w:val="21"/>
                <w:highlight w:val="none"/>
              </w:rPr>
            </w:pPr>
          </w:p>
        </w:tc>
        <w:tc>
          <w:tcPr>
            <w:tcW w:w="962" w:type="dxa"/>
            <w:vMerge w:val="continue"/>
            <w:vAlign w:val="center"/>
          </w:tcPr>
          <w:p w14:paraId="26F6046B">
            <w:pPr>
              <w:adjustRightInd w:val="0"/>
              <w:snapToGrid w:val="0"/>
              <w:spacing w:line="430" w:lineRule="atLeast"/>
              <w:jc w:val="center"/>
              <w:rPr>
                <w:color w:val="auto"/>
                <w:szCs w:val="21"/>
                <w:highlight w:val="none"/>
              </w:rPr>
            </w:pPr>
          </w:p>
        </w:tc>
        <w:tc>
          <w:tcPr>
            <w:tcW w:w="1740" w:type="dxa"/>
            <w:vAlign w:val="center"/>
          </w:tcPr>
          <w:p w14:paraId="48693FF3">
            <w:pPr>
              <w:adjustRightInd w:val="0"/>
              <w:snapToGrid w:val="0"/>
              <w:spacing w:line="43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供货时间/服务期限</w:t>
            </w:r>
          </w:p>
        </w:tc>
        <w:tc>
          <w:tcPr>
            <w:tcW w:w="5803" w:type="dxa"/>
            <w:vAlign w:val="center"/>
          </w:tcPr>
          <w:p w14:paraId="5AF6A6F0">
            <w:pPr>
              <w:adjustRightInd w:val="0"/>
              <w:snapToGrid w:val="0"/>
              <w:spacing w:line="43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共90日历天，配合总包单位进行预埋，技术支持、电梯生产安装及调试等相关工作;安装调试完成后30日内验收完毕(含取证)。具体以甲方正式通知为准并应满足甲方工程进度要求，工期须满足总包总体进度计划要求。（实际工期开始时间以招标人指令为准）</w:t>
            </w:r>
          </w:p>
        </w:tc>
      </w:tr>
      <w:tr w14:paraId="0A547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EEC59AD">
            <w:pPr>
              <w:adjustRightInd w:val="0"/>
              <w:snapToGrid w:val="0"/>
              <w:spacing w:line="430" w:lineRule="atLeast"/>
              <w:jc w:val="center"/>
              <w:rPr>
                <w:color w:val="auto"/>
                <w:szCs w:val="21"/>
                <w:highlight w:val="none"/>
              </w:rPr>
            </w:pPr>
          </w:p>
        </w:tc>
        <w:tc>
          <w:tcPr>
            <w:tcW w:w="962" w:type="dxa"/>
            <w:vMerge w:val="continue"/>
            <w:vAlign w:val="center"/>
          </w:tcPr>
          <w:p w14:paraId="24F920CA">
            <w:pPr>
              <w:adjustRightInd w:val="0"/>
              <w:snapToGrid w:val="0"/>
              <w:spacing w:line="430" w:lineRule="atLeast"/>
              <w:jc w:val="center"/>
              <w:rPr>
                <w:color w:val="auto"/>
                <w:szCs w:val="21"/>
                <w:highlight w:val="none"/>
              </w:rPr>
            </w:pPr>
          </w:p>
        </w:tc>
        <w:tc>
          <w:tcPr>
            <w:tcW w:w="1740" w:type="dxa"/>
            <w:vAlign w:val="center"/>
          </w:tcPr>
          <w:p w14:paraId="278C7024">
            <w:pPr>
              <w:adjustRightInd w:val="0"/>
              <w:snapToGrid w:val="0"/>
              <w:spacing w:line="43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采购内容及范围</w:t>
            </w:r>
          </w:p>
        </w:tc>
        <w:tc>
          <w:tcPr>
            <w:tcW w:w="5803" w:type="dxa"/>
            <w:vAlign w:val="center"/>
          </w:tcPr>
          <w:p w14:paraId="4F3C23A8">
            <w:pPr>
              <w:adjustRightInd w:val="0"/>
              <w:snapToGrid w:val="0"/>
              <w:spacing w:line="43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满足招标文件要求</w:t>
            </w:r>
          </w:p>
        </w:tc>
      </w:tr>
      <w:tr w14:paraId="43599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09" w:type="dxa"/>
            <w:vMerge w:val="continue"/>
            <w:vAlign w:val="center"/>
          </w:tcPr>
          <w:p w14:paraId="548E2F2D">
            <w:pPr>
              <w:adjustRightInd w:val="0"/>
              <w:snapToGrid w:val="0"/>
              <w:spacing w:line="430" w:lineRule="atLeast"/>
              <w:jc w:val="center"/>
              <w:rPr>
                <w:color w:val="auto"/>
                <w:szCs w:val="21"/>
                <w:highlight w:val="none"/>
              </w:rPr>
            </w:pPr>
          </w:p>
        </w:tc>
        <w:tc>
          <w:tcPr>
            <w:tcW w:w="962" w:type="dxa"/>
            <w:vMerge w:val="continue"/>
            <w:vAlign w:val="center"/>
          </w:tcPr>
          <w:p w14:paraId="01CE981B">
            <w:pPr>
              <w:adjustRightInd w:val="0"/>
              <w:snapToGrid w:val="0"/>
              <w:spacing w:line="430" w:lineRule="atLeast"/>
              <w:jc w:val="center"/>
              <w:rPr>
                <w:color w:val="auto"/>
                <w:szCs w:val="21"/>
                <w:highlight w:val="none"/>
              </w:rPr>
            </w:pPr>
          </w:p>
        </w:tc>
        <w:tc>
          <w:tcPr>
            <w:tcW w:w="1740" w:type="dxa"/>
            <w:vAlign w:val="center"/>
          </w:tcPr>
          <w:p w14:paraId="6410CABA">
            <w:pPr>
              <w:adjustRightInd w:val="0"/>
              <w:snapToGrid w:val="0"/>
              <w:spacing w:line="43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803" w:type="dxa"/>
            <w:vAlign w:val="center"/>
          </w:tcPr>
          <w:p w14:paraId="517DF819">
            <w:pPr>
              <w:adjustRightInd w:val="0"/>
              <w:snapToGrid w:val="0"/>
              <w:spacing w:line="43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符合现行国家、行业、质量验收标准以及相关专业验收规范的合格标准。注：电梯产品质量、性能指标、安装质量、维修保养、装饰装修及售后服务等必须达到国家现行规范和规定标准。其中：①安装调试完成后需通过政府相关职能部门的验收要求，并取得国家质量监督检验部门颁发的《电梯验收检验报告》及《电梯检验合格证》等相应的文件证明。②电梯的主要性能指标指安全性、可靠性、舒适感和快速性、停站准确性、振动、噪音及电磁干扰、节能和装璜等必须达到国家现行规范和规定标准，满足施工图纸的相关设计要求。</w:t>
            </w:r>
          </w:p>
        </w:tc>
      </w:tr>
      <w:tr w14:paraId="7B8E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09" w:type="dxa"/>
            <w:vMerge w:val="continue"/>
            <w:vAlign w:val="center"/>
          </w:tcPr>
          <w:p w14:paraId="46544862">
            <w:pPr>
              <w:adjustRightInd w:val="0"/>
              <w:snapToGrid w:val="0"/>
              <w:spacing w:line="430" w:lineRule="atLeast"/>
              <w:jc w:val="center"/>
              <w:rPr>
                <w:color w:val="auto"/>
                <w:szCs w:val="21"/>
                <w:highlight w:val="none"/>
              </w:rPr>
            </w:pPr>
          </w:p>
        </w:tc>
        <w:tc>
          <w:tcPr>
            <w:tcW w:w="962" w:type="dxa"/>
            <w:vMerge w:val="continue"/>
            <w:vAlign w:val="center"/>
          </w:tcPr>
          <w:p w14:paraId="01EFECEB">
            <w:pPr>
              <w:adjustRightInd w:val="0"/>
              <w:snapToGrid w:val="0"/>
              <w:spacing w:line="430" w:lineRule="atLeast"/>
              <w:jc w:val="center"/>
              <w:rPr>
                <w:color w:val="auto"/>
                <w:szCs w:val="21"/>
                <w:highlight w:val="none"/>
              </w:rPr>
            </w:pPr>
          </w:p>
        </w:tc>
        <w:tc>
          <w:tcPr>
            <w:tcW w:w="1740" w:type="dxa"/>
            <w:vAlign w:val="center"/>
          </w:tcPr>
          <w:p w14:paraId="213735F8">
            <w:pPr>
              <w:adjustRightInd w:val="0"/>
              <w:snapToGrid w:val="0"/>
              <w:spacing w:line="43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03" w:type="dxa"/>
            <w:vAlign w:val="center"/>
          </w:tcPr>
          <w:p w14:paraId="29DA181A">
            <w:pPr>
              <w:adjustRightInd w:val="0"/>
              <w:snapToGrid w:val="0"/>
              <w:spacing w:line="43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符合第二章“投标人须知”第3.3.1款规定</w:t>
            </w:r>
          </w:p>
        </w:tc>
      </w:tr>
      <w:tr w14:paraId="2515C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709" w:type="dxa"/>
            <w:vMerge w:val="continue"/>
            <w:vAlign w:val="center"/>
          </w:tcPr>
          <w:p w14:paraId="28EB49C6">
            <w:pPr>
              <w:adjustRightInd w:val="0"/>
              <w:snapToGrid w:val="0"/>
              <w:spacing w:line="430" w:lineRule="atLeast"/>
              <w:jc w:val="center"/>
              <w:rPr>
                <w:color w:val="auto"/>
                <w:szCs w:val="21"/>
                <w:highlight w:val="none"/>
              </w:rPr>
            </w:pPr>
          </w:p>
        </w:tc>
        <w:tc>
          <w:tcPr>
            <w:tcW w:w="962" w:type="dxa"/>
            <w:vMerge w:val="continue"/>
            <w:vAlign w:val="center"/>
          </w:tcPr>
          <w:p w14:paraId="437D5E60">
            <w:pPr>
              <w:adjustRightInd w:val="0"/>
              <w:snapToGrid w:val="0"/>
              <w:spacing w:line="430" w:lineRule="atLeast"/>
              <w:jc w:val="center"/>
              <w:rPr>
                <w:color w:val="auto"/>
                <w:szCs w:val="21"/>
                <w:highlight w:val="none"/>
              </w:rPr>
            </w:pPr>
          </w:p>
        </w:tc>
        <w:tc>
          <w:tcPr>
            <w:tcW w:w="1740" w:type="dxa"/>
            <w:vAlign w:val="center"/>
          </w:tcPr>
          <w:p w14:paraId="6B93BDA1">
            <w:pPr>
              <w:adjustRightInd w:val="0"/>
              <w:snapToGrid w:val="0"/>
              <w:spacing w:line="43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803" w:type="dxa"/>
            <w:vAlign w:val="center"/>
          </w:tcPr>
          <w:p w14:paraId="6C362F71">
            <w:pPr>
              <w:adjustRightInd w:val="0"/>
              <w:snapToGrid w:val="0"/>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符合第二章“投标人须知”第3.4.1款规定</w:t>
            </w:r>
          </w:p>
        </w:tc>
      </w:tr>
      <w:tr w14:paraId="113A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1671" w:type="dxa"/>
            <w:gridSpan w:val="2"/>
            <w:vAlign w:val="center"/>
          </w:tcPr>
          <w:p w14:paraId="650DCFA4">
            <w:pPr>
              <w:adjustRightInd w:val="0"/>
              <w:snapToGrid w:val="0"/>
              <w:spacing w:line="430" w:lineRule="atLeast"/>
              <w:jc w:val="center"/>
              <w:rPr>
                <w:b/>
                <w:color w:val="auto"/>
                <w:szCs w:val="21"/>
                <w:highlight w:val="none"/>
              </w:rPr>
            </w:pPr>
            <w:r>
              <w:rPr>
                <w:b/>
                <w:color w:val="auto"/>
                <w:szCs w:val="21"/>
                <w:highlight w:val="none"/>
              </w:rPr>
              <w:t>条款号</w:t>
            </w:r>
          </w:p>
        </w:tc>
        <w:tc>
          <w:tcPr>
            <w:tcW w:w="1740" w:type="dxa"/>
            <w:vAlign w:val="center"/>
          </w:tcPr>
          <w:p w14:paraId="034E1734">
            <w:pPr>
              <w:adjustRightInd w:val="0"/>
              <w:snapToGrid w:val="0"/>
              <w:spacing w:line="430" w:lineRule="atLeast"/>
              <w:jc w:val="center"/>
              <w:rPr>
                <w:b/>
                <w:color w:val="auto"/>
                <w:szCs w:val="21"/>
                <w:highlight w:val="none"/>
              </w:rPr>
            </w:pPr>
            <w:r>
              <w:rPr>
                <w:b/>
                <w:color w:val="auto"/>
                <w:szCs w:val="21"/>
                <w:highlight w:val="none"/>
              </w:rPr>
              <w:t>条款内容</w:t>
            </w:r>
          </w:p>
        </w:tc>
        <w:tc>
          <w:tcPr>
            <w:tcW w:w="5803" w:type="dxa"/>
            <w:vAlign w:val="center"/>
          </w:tcPr>
          <w:p w14:paraId="0AF01DA0">
            <w:pPr>
              <w:adjustRightInd w:val="0"/>
              <w:snapToGrid w:val="0"/>
              <w:spacing w:line="430" w:lineRule="atLeast"/>
              <w:jc w:val="center"/>
              <w:rPr>
                <w:b/>
                <w:color w:val="auto"/>
                <w:szCs w:val="21"/>
                <w:highlight w:val="none"/>
              </w:rPr>
            </w:pPr>
            <w:r>
              <w:rPr>
                <w:b/>
                <w:color w:val="auto"/>
                <w:szCs w:val="21"/>
                <w:highlight w:val="none"/>
              </w:rPr>
              <w:t>编列内容</w:t>
            </w:r>
          </w:p>
        </w:tc>
      </w:tr>
      <w:tr w14:paraId="16B2C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1" w:type="dxa"/>
            <w:gridSpan w:val="2"/>
            <w:vAlign w:val="center"/>
          </w:tcPr>
          <w:p w14:paraId="637D6A7C">
            <w:pPr>
              <w:spacing w:line="430" w:lineRule="atLeast"/>
              <w:jc w:val="center"/>
              <w:rPr>
                <w:color w:val="auto"/>
                <w:szCs w:val="21"/>
                <w:highlight w:val="none"/>
              </w:rPr>
            </w:pPr>
            <w:r>
              <w:rPr>
                <w:color w:val="auto"/>
                <w:szCs w:val="21"/>
                <w:highlight w:val="none"/>
              </w:rPr>
              <w:t>2.2.1</w:t>
            </w:r>
          </w:p>
        </w:tc>
        <w:tc>
          <w:tcPr>
            <w:tcW w:w="1740" w:type="dxa"/>
            <w:vAlign w:val="center"/>
          </w:tcPr>
          <w:p w14:paraId="4A864A35">
            <w:pPr>
              <w:spacing w:line="43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7D002E87">
            <w:pPr>
              <w:spacing w:line="43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5803" w:type="dxa"/>
            <w:vAlign w:val="center"/>
          </w:tcPr>
          <w:p w14:paraId="15C2245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资信业绩部分：</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分；</w:t>
            </w:r>
          </w:p>
          <w:p w14:paraId="240D1B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cs="宋体"/>
                <w:color w:val="auto"/>
                <w:szCs w:val="21"/>
                <w:highlight w:val="none"/>
                <w:u w:val="single"/>
                <w:lang w:val="en-US" w:eastAsia="zh-CN"/>
              </w:rPr>
              <w:t>35</w:t>
            </w:r>
            <w:r>
              <w:rPr>
                <w:rFonts w:hint="eastAsia" w:ascii="宋体" w:hAnsi="宋体" w:eastAsia="宋体" w:cs="宋体"/>
                <w:color w:val="auto"/>
                <w:szCs w:val="21"/>
                <w:highlight w:val="none"/>
              </w:rPr>
              <w:t>分；</w:t>
            </w:r>
          </w:p>
          <w:p w14:paraId="356153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u w:val="single"/>
                <w:lang w:val="en-US" w:eastAsia="zh-CN"/>
              </w:rPr>
              <w:t>60</w:t>
            </w:r>
            <w:r>
              <w:rPr>
                <w:rFonts w:hint="eastAsia" w:ascii="宋体" w:hAnsi="宋体" w:eastAsia="宋体" w:cs="宋体"/>
                <w:color w:val="auto"/>
                <w:szCs w:val="21"/>
                <w:highlight w:val="none"/>
              </w:rPr>
              <w:t>分。</w:t>
            </w:r>
          </w:p>
        </w:tc>
      </w:tr>
      <w:tr w14:paraId="0D78C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671" w:type="dxa"/>
            <w:gridSpan w:val="2"/>
            <w:vAlign w:val="center"/>
          </w:tcPr>
          <w:p w14:paraId="456AA456">
            <w:pPr>
              <w:adjustRightInd w:val="0"/>
              <w:snapToGrid w:val="0"/>
              <w:spacing w:line="430" w:lineRule="atLeast"/>
              <w:jc w:val="center"/>
              <w:rPr>
                <w:b/>
                <w:color w:val="auto"/>
                <w:szCs w:val="21"/>
                <w:highlight w:val="none"/>
              </w:rPr>
            </w:pPr>
            <w:r>
              <w:rPr>
                <w:rFonts w:hint="eastAsia"/>
                <w:b/>
                <w:color w:val="auto"/>
                <w:szCs w:val="21"/>
                <w:highlight w:val="none"/>
              </w:rPr>
              <w:t>条款</w:t>
            </w:r>
            <w:r>
              <w:rPr>
                <w:b/>
                <w:color w:val="auto"/>
                <w:szCs w:val="21"/>
                <w:highlight w:val="none"/>
              </w:rPr>
              <w:t>号</w:t>
            </w:r>
          </w:p>
        </w:tc>
        <w:tc>
          <w:tcPr>
            <w:tcW w:w="1740" w:type="dxa"/>
            <w:vAlign w:val="center"/>
          </w:tcPr>
          <w:p w14:paraId="37AC3452">
            <w:pPr>
              <w:adjustRightInd w:val="0"/>
              <w:snapToGrid w:val="0"/>
              <w:spacing w:line="430" w:lineRule="atLeast"/>
              <w:jc w:val="center"/>
              <w:rPr>
                <w:b/>
                <w:color w:val="auto"/>
                <w:szCs w:val="21"/>
                <w:highlight w:val="none"/>
              </w:rPr>
            </w:pPr>
            <w:r>
              <w:rPr>
                <w:rFonts w:hint="eastAsia"/>
                <w:b/>
                <w:color w:val="auto"/>
                <w:szCs w:val="21"/>
                <w:highlight w:val="none"/>
              </w:rPr>
              <w:t>评分</w:t>
            </w:r>
            <w:r>
              <w:rPr>
                <w:b/>
                <w:color w:val="auto"/>
                <w:szCs w:val="21"/>
                <w:highlight w:val="none"/>
              </w:rPr>
              <w:t>因素</w:t>
            </w:r>
          </w:p>
        </w:tc>
        <w:tc>
          <w:tcPr>
            <w:tcW w:w="5803" w:type="dxa"/>
            <w:vAlign w:val="center"/>
          </w:tcPr>
          <w:p w14:paraId="692438E3">
            <w:pPr>
              <w:spacing w:line="430" w:lineRule="atLeast"/>
              <w:ind w:left="208" w:leftChars="83" w:hanging="34" w:hangingChars="16"/>
              <w:jc w:val="center"/>
              <w:rPr>
                <w:b/>
                <w:color w:val="auto"/>
                <w:szCs w:val="21"/>
                <w:highlight w:val="none"/>
              </w:rPr>
            </w:pPr>
            <w:r>
              <w:rPr>
                <w:rFonts w:hint="eastAsia"/>
                <w:b/>
                <w:color w:val="auto"/>
                <w:szCs w:val="21"/>
                <w:highlight w:val="none"/>
              </w:rPr>
              <w:t>评分</w:t>
            </w:r>
            <w:r>
              <w:rPr>
                <w:b/>
                <w:color w:val="auto"/>
                <w:szCs w:val="21"/>
                <w:highlight w:val="none"/>
              </w:rPr>
              <w:t>标准</w:t>
            </w:r>
          </w:p>
        </w:tc>
      </w:tr>
      <w:tr w14:paraId="1FA5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709" w:type="dxa"/>
            <w:vMerge w:val="restart"/>
            <w:tcBorders>
              <w:right w:val="single" w:color="auto" w:sz="4" w:space="0"/>
            </w:tcBorders>
            <w:vAlign w:val="center"/>
          </w:tcPr>
          <w:p w14:paraId="4CBFD1B7">
            <w:pPr>
              <w:spacing w:line="430" w:lineRule="exact"/>
              <w:jc w:val="center"/>
              <w:rPr>
                <w:rFonts w:hint="eastAsia" w:ascii="宋体" w:hAnsi="宋体" w:cs="宋体"/>
                <w:color w:val="auto"/>
                <w:szCs w:val="21"/>
                <w:highlight w:val="none"/>
                <w:lang w:val="en-US" w:eastAsia="zh-CN"/>
              </w:rPr>
            </w:pPr>
          </w:p>
        </w:tc>
        <w:tc>
          <w:tcPr>
            <w:tcW w:w="962" w:type="dxa"/>
            <w:vMerge w:val="restart"/>
            <w:tcBorders>
              <w:left w:val="single" w:color="auto" w:sz="4" w:space="0"/>
            </w:tcBorders>
            <w:vAlign w:val="center"/>
          </w:tcPr>
          <w:p w14:paraId="0D8235D3">
            <w:pPr>
              <w:spacing w:line="360" w:lineRule="auto"/>
              <w:jc w:val="center"/>
              <w:rPr>
                <w:rFonts w:hint="eastAsia" w:ascii="宋体" w:hAnsi="宋体" w:eastAsia="宋体" w:cs="宋体"/>
                <w:bCs/>
                <w:color w:val="auto"/>
                <w:kern w:val="2"/>
                <w:sz w:val="21"/>
                <w:szCs w:val="21"/>
                <w:highlight w:val="none"/>
                <w:lang w:val="en-US" w:eastAsia="zh-CN" w:bidi="ar-SA"/>
              </w:rPr>
            </w:pPr>
          </w:p>
        </w:tc>
        <w:tc>
          <w:tcPr>
            <w:tcW w:w="1740" w:type="dxa"/>
            <w:tcBorders>
              <w:top w:val="single" w:color="auto" w:sz="4" w:space="0"/>
              <w:right w:val="single" w:color="auto" w:sz="4" w:space="0"/>
            </w:tcBorders>
            <w:vAlign w:val="center"/>
          </w:tcPr>
          <w:p w14:paraId="6F80BFFB">
            <w:pPr>
              <w:spacing w:line="360" w:lineRule="auto"/>
              <w:jc w:val="center"/>
              <w:rPr>
                <w:rFonts w:hint="default"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业绩</w:t>
            </w:r>
          </w:p>
          <w:p w14:paraId="2CB0E441">
            <w:pPr>
              <w:pStyle w:val="43"/>
              <w:jc w:val="center"/>
              <w:rPr>
                <w:rFonts w:hint="default"/>
                <w:lang w:val="en-US" w:eastAsia="zh-CN"/>
              </w:rPr>
            </w:pP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w:t>
            </w:r>
          </w:p>
        </w:tc>
        <w:tc>
          <w:tcPr>
            <w:tcW w:w="5803" w:type="dxa"/>
            <w:tcBorders>
              <w:top w:val="single" w:color="auto" w:sz="4" w:space="0"/>
              <w:left w:val="single" w:color="auto" w:sz="4" w:space="0"/>
              <w:bottom w:val="single" w:color="auto" w:sz="4" w:space="0"/>
            </w:tcBorders>
            <w:vAlign w:val="center"/>
          </w:tcPr>
          <w:p w14:paraId="0476DCBC">
            <w:pPr>
              <w:spacing w:line="360" w:lineRule="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提供202</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年</w:t>
            </w:r>
            <w:r>
              <w:rPr>
                <w:rFonts w:hint="eastAsia" w:ascii="宋体" w:hAnsi="宋体" w:cs="宋体"/>
                <w:bCs/>
                <w:color w:val="auto"/>
                <w:kern w:val="2"/>
                <w:sz w:val="21"/>
                <w:szCs w:val="21"/>
                <w:highlight w:val="none"/>
                <w:lang w:val="en-US" w:eastAsia="zh-CN" w:bidi="ar-SA"/>
              </w:rPr>
              <w:t>04</w:t>
            </w:r>
            <w:r>
              <w:rPr>
                <w:rFonts w:hint="eastAsia" w:ascii="宋体" w:hAnsi="宋体" w:eastAsia="宋体" w:cs="宋体"/>
                <w:bCs/>
                <w:color w:val="auto"/>
                <w:kern w:val="2"/>
                <w:sz w:val="21"/>
                <w:szCs w:val="21"/>
                <w:highlight w:val="none"/>
                <w:lang w:val="en-US" w:eastAsia="zh-CN" w:bidi="ar-SA"/>
              </w:rPr>
              <w:t>月01日至今与本项目类似的相关业绩，每提供一项得</w:t>
            </w:r>
            <w:r>
              <w:rPr>
                <w:rFonts w:hint="eastAsia" w:ascii="宋体" w:hAnsi="宋体" w:cs="宋体"/>
                <w:bCs/>
                <w:color w:val="auto"/>
                <w:kern w:val="2"/>
                <w:sz w:val="21"/>
                <w:szCs w:val="21"/>
                <w:highlight w:val="none"/>
                <w:lang w:val="en-US" w:eastAsia="zh-CN" w:bidi="ar-SA"/>
              </w:rPr>
              <w:t>2.5</w:t>
            </w:r>
            <w:r>
              <w:rPr>
                <w:rFonts w:hint="eastAsia" w:ascii="宋体" w:hAnsi="宋体" w:eastAsia="宋体" w:cs="宋体"/>
                <w:bCs/>
                <w:color w:val="auto"/>
                <w:kern w:val="2"/>
                <w:sz w:val="21"/>
                <w:szCs w:val="21"/>
                <w:highlight w:val="none"/>
                <w:lang w:val="en-US" w:eastAsia="zh-CN" w:bidi="ar-SA"/>
              </w:rPr>
              <w:t>分，最多得</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w:t>
            </w:r>
          </w:p>
          <w:p w14:paraId="632EAA6A">
            <w:pPr>
              <w:spacing w:line="360" w:lineRule="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注：证明材料提供有效的业绩合同扫描件，日期按照签订时间为准。</w:t>
            </w:r>
          </w:p>
        </w:tc>
      </w:tr>
      <w:tr w14:paraId="5B0E5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709" w:type="dxa"/>
            <w:vMerge w:val="continue"/>
            <w:tcBorders>
              <w:right w:val="single" w:color="auto" w:sz="4" w:space="0"/>
            </w:tcBorders>
            <w:vAlign w:val="center"/>
          </w:tcPr>
          <w:p w14:paraId="3F0FEBD1">
            <w:pPr>
              <w:spacing w:line="430" w:lineRule="exact"/>
              <w:jc w:val="center"/>
              <w:rPr>
                <w:rFonts w:hint="eastAsia" w:ascii="宋体" w:hAnsi="宋体" w:cs="宋体"/>
                <w:color w:val="auto"/>
                <w:szCs w:val="21"/>
                <w:highlight w:val="none"/>
                <w:lang w:val="en-US" w:eastAsia="zh-CN"/>
              </w:rPr>
            </w:pPr>
          </w:p>
        </w:tc>
        <w:tc>
          <w:tcPr>
            <w:tcW w:w="962" w:type="dxa"/>
            <w:vMerge w:val="continue"/>
            <w:tcBorders>
              <w:left w:val="single" w:color="auto" w:sz="4" w:space="0"/>
            </w:tcBorders>
            <w:vAlign w:val="center"/>
          </w:tcPr>
          <w:p w14:paraId="18BD6035">
            <w:pPr>
              <w:spacing w:line="360" w:lineRule="auto"/>
              <w:jc w:val="center"/>
              <w:rPr>
                <w:rFonts w:hint="eastAsia" w:ascii="宋体" w:hAnsi="宋体" w:eastAsia="宋体" w:cs="宋体"/>
                <w:bCs/>
                <w:color w:val="auto"/>
                <w:kern w:val="2"/>
                <w:sz w:val="21"/>
                <w:szCs w:val="21"/>
                <w:highlight w:val="none"/>
                <w:lang w:val="en-US" w:eastAsia="zh-CN" w:bidi="ar-SA"/>
              </w:rPr>
            </w:pPr>
          </w:p>
        </w:tc>
        <w:tc>
          <w:tcPr>
            <w:tcW w:w="7543" w:type="dxa"/>
            <w:gridSpan w:val="2"/>
            <w:tcBorders>
              <w:top w:val="single" w:color="auto" w:sz="4" w:space="0"/>
            </w:tcBorders>
            <w:vAlign w:val="center"/>
          </w:tcPr>
          <w:p w14:paraId="22D6EDD7">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说明：</w:t>
            </w:r>
          </w:p>
          <w:p w14:paraId="13A87CFF">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在本次招标的 “资信业绩”部分评审中，若投标人为代理商（即有货物制造商授权），其提供的相关证明材料（如业绩、专利、设计研发机构相关材料、质量保障体系相关材料等），如属于其所代理产品的制造商所有，均予以认可，投标人可据此获得相应分数。</w:t>
            </w:r>
          </w:p>
        </w:tc>
      </w:tr>
      <w:tr w14:paraId="6FAB6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709" w:type="dxa"/>
            <w:vMerge w:val="restart"/>
            <w:tcBorders>
              <w:right w:val="single" w:color="auto" w:sz="4" w:space="0"/>
            </w:tcBorders>
            <w:vAlign w:val="center"/>
          </w:tcPr>
          <w:p w14:paraId="3A2D5D3F">
            <w:pPr>
              <w:spacing w:line="430" w:lineRule="exact"/>
              <w:jc w:val="center"/>
              <w:rPr>
                <w:color w:val="auto"/>
                <w:szCs w:val="21"/>
                <w:highlight w:val="none"/>
              </w:rPr>
            </w:pPr>
            <w:r>
              <w:rPr>
                <w:rFonts w:hint="eastAsia" w:ascii="宋体" w:hAnsi="宋体" w:cs="宋体"/>
                <w:color w:val="auto"/>
                <w:szCs w:val="21"/>
                <w:highlight w:val="none"/>
              </w:rPr>
              <w:t>2.2.4（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962" w:type="dxa"/>
            <w:vMerge w:val="restart"/>
            <w:tcBorders>
              <w:left w:val="single" w:color="auto" w:sz="4" w:space="0"/>
            </w:tcBorders>
            <w:vAlign w:val="center"/>
          </w:tcPr>
          <w:p w14:paraId="601C727E">
            <w:pPr>
              <w:spacing w:line="430" w:lineRule="exact"/>
              <w:jc w:val="center"/>
              <w:rPr>
                <w:color w:val="auto"/>
                <w:szCs w:val="21"/>
                <w:highlight w:val="none"/>
              </w:rPr>
            </w:pPr>
            <w:r>
              <w:rPr>
                <w:rFonts w:hint="eastAsia"/>
                <w:color w:val="auto"/>
                <w:szCs w:val="21"/>
                <w:highlight w:val="none"/>
              </w:rPr>
              <w:t>技术</w:t>
            </w:r>
          </w:p>
          <w:p w14:paraId="49E51AC2">
            <w:pPr>
              <w:spacing w:line="43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部分</w:t>
            </w:r>
          </w:p>
          <w:p w14:paraId="1F5C6F7E">
            <w:pPr>
              <w:spacing w:line="430" w:lineRule="exact"/>
              <w:jc w:val="center"/>
              <w:rPr>
                <w:color w:val="auto"/>
                <w:szCs w:val="21"/>
                <w:highlight w:val="none"/>
              </w:rPr>
            </w:pP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分</w:t>
            </w:r>
          </w:p>
        </w:tc>
        <w:tc>
          <w:tcPr>
            <w:tcW w:w="1740" w:type="dxa"/>
            <w:tcBorders>
              <w:top w:val="single" w:color="auto" w:sz="4" w:space="0"/>
              <w:right w:val="single" w:color="auto" w:sz="4" w:space="0"/>
            </w:tcBorders>
            <w:vAlign w:val="center"/>
          </w:tcPr>
          <w:p w14:paraId="33BFAA37">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供货</w:t>
            </w:r>
            <w:r>
              <w:rPr>
                <w:rFonts w:hint="eastAsia" w:ascii="宋体" w:hAnsi="宋体" w:eastAsia="宋体" w:cs="宋体"/>
                <w:bCs/>
                <w:color w:val="auto"/>
                <w:kern w:val="2"/>
                <w:sz w:val="21"/>
                <w:szCs w:val="21"/>
                <w:highlight w:val="none"/>
                <w:lang w:val="en-US" w:eastAsia="zh-CN" w:bidi="ar-SA"/>
              </w:rPr>
              <w:t>方案</w:t>
            </w:r>
          </w:p>
          <w:p w14:paraId="21906B21">
            <w:pPr>
              <w:pStyle w:val="8"/>
              <w:ind w:firstLine="420" w:firstLineChars="200"/>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（14分）</w:t>
            </w:r>
          </w:p>
        </w:tc>
        <w:tc>
          <w:tcPr>
            <w:tcW w:w="5803" w:type="dxa"/>
            <w:tcBorders>
              <w:top w:val="single" w:color="auto" w:sz="4" w:space="0"/>
              <w:left w:val="single" w:color="auto" w:sz="4" w:space="0"/>
              <w:bottom w:val="single" w:color="auto" w:sz="4" w:space="0"/>
            </w:tcBorders>
            <w:vAlign w:val="center"/>
          </w:tcPr>
          <w:p w14:paraId="4752513C">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投标人结合本项目采购需求针对本项目制定</w:t>
            </w:r>
            <w:r>
              <w:rPr>
                <w:rFonts w:hint="eastAsia" w:ascii="宋体" w:hAnsi="宋体" w:cs="宋体"/>
                <w:bCs/>
                <w:color w:val="auto"/>
                <w:kern w:val="2"/>
                <w:sz w:val="21"/>
                <w:szCs w:val="21"/>
                <w:highlight w:val="none"/>
                <w:lang w:val="en-US" w:eastAsia="zh-CN" w:bidi="ar-SA"/>
              </w:rPr>
              <w:t>供货</w:t>
            </w:r>
            <w:r>
              <w:rPr>
                <w:rFonts w:hint="eastAsia" w:ascii="宋体" w:hAnsi="宋体" w:eastAsia="宋体" w:cs="宋体"/>
                <w:bCs/>
                <w:color w:val="auto"/>
                <w:kern w:val="2"/>
                <w:sz w:val="21"/>
                <w:szCs w:val="21"/>
                <w:highlight w:val="none"/>
                <w:lang w:val="en-US" w:eastAsia="zh-CN" w:bidi="ar-SA"/>
              </w:rPr>
              <w:t>方案：</w:t>
            </w:r>
          </w:p>
          <w:p w14:paraId="7886E124">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1.对本项目</w:t>
            </w:r>
            <w:r>
              <w:rPr>
                <w:rFonts w:hint="eastAsia" w:ascii="宋体" w:hAnsi="宋体" w:cs="宋体"/>
                <w:bCs/>
                <w:color w:val="auto"/>
                <w:kern w:val="2"/>
                <w:sz w:val="21"/>
                <w:szCs w:val="21"/>
                <w:highlight w:val="none"/>
                <w:lang w:val="en-US" w:eastAsia="zh-CN" w:bidi="ar-SA"/>
              </w:rPr>
              <w:t>供货</w:t>
            </w:r>
            <w:r>
              <w:rPr>
                <w:rFonts w:hint="eastAsia" w:ascii="宋体" w:hAnsi="宋体" w:eastAsia="宋体" w:cs="宋体"/>
                <w:bCs/>
                <w:color w:val="auto"/>
                <w:kern w:val="2"/>
                <w:sz w:val="21"/>
                <w:szCs w:val="21"/>
                <w:highlight w:val="none"/>
                <w:lang w:val="en-US" w:eastAsia="zh-CN" w:bidi="ar-SA"/>
              </w:rPr>
              <w:t>内容理解及阐述，内容细致完善，先进合理且针对性强得</w:t>
            </w: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分，内容不完整不合理的扣 0.1-</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没有不得</w:t>
            </w:r>
            <w:r>
              <w:rPr>
                <w:rFonts w:hint="eastAsia" w:ascii="宋体" w:hAnsi="宋体" w:eastAsia="宋体" w:cs="宋体"/>
                <w:bCs/>
                <w:color w:val="auto"/>
                <w:kern w:val="2"/>
                <w:sz w:val="21"/>
                <w:szCs w:val="21"/>
                <w:highlight w:val="none"/>
                <w:lang w:val="en-US" w:eastAsia="zh-CN" w:bidi="ar-SA"/>
              </w:rPr>
              <w:t>分；</w:t>
            </w:r>
          </w:p>
          <w:p w14:paraId="04ECCFE3">
            <w:pPr>
              <w:spacing w:line="360" w:lineRule="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方案编制标准及具体实施方案，内容细致完善，先进合理且针对性强得</w:t>
            </w: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分，内容不完整不合理的扣 0.1-</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没有不得</w:t>
            </w:r>
            <w:r>
              <w:rPr>
                <w:rFonts w:hint="eastAsia" w:ascii="宋体" w:hAnsi="宋体" w:eastAsia="宋体" w:cs="宋体"/>
                <w:bCs/>
                <w:color w:val="auto"/>
                <w:kern w:val="2"/>
                <w:sz w:val="21"/>
                <w:szCs w:val="21"/>
                <w:highlight w:val="none"/>
                <w:lang w:val="en-US" w:eastAsia="zh-CN" w:bidi="ar-SA"/>
              </w:rPr>
              <w:t xml:space="preserve">分； </w:t>
            </w:r>
          </w:p>
        </w:tc>
      </w:tr>
      <w:tr w14:paraId="58ACB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709" w:type="dxa"/>
            <w:vMerge w:val="continue"/>
            <w:tcBorders>
              <w:right w:val="single" w:color="auto" w:sz="4" w:space="0"/>
            </w:tcBorders>
            <w:vAlign w:val="center"/>
          </w:tcPr>
          <w:p w14:paraId="279DF88D">
            <w:pPr>
              <w:adjustRightInd w:val="0"/>
              <w:snapToGrid w:val="0"/>
              <w:spacing w:line="430" w:lineRule="atLeast"/>
              <w:rPr>
                <w:color w:val="auto"/>
                <w:szCs w:val="21"/>
                <w:highlight w:val="none"/>
              </w:rPr>
            </w:pPr>
          </w:p>
        </w:tc>
        <w:tc>
          <w:tcPr>
            <w:tcW w:w="962" w:type="dxa"/>
            <w:vMerge w:val="continue"/>
            <w:tcBorders>
              <w:left w:val="single" w:color="auto" w:sz="4" w:space="0"/>
            </w:tcBorders>
            <w:vAlign w:val="center"/>
          </w:tcPr>
          <w:p w14:paraId="0FF98F40">
            <w:pPr>
              <w:adjustRightInd w:val="0"/>
              <w:snapToGrid w:val="0"/>
              <w:spacing w:line="430" w:lineRule="atLeast"/>
              <w:rPr>
                <w:color w:val="auto"/>
                <w:szCs w:val="21"/>
                <w:highlight w:val="none"/>
              </w:rPr>
            </w:pPr>
          </w:p>
        </w:tc>
        <w:tc>
          <w:tcPr>
            <w:tcW w:w="1740" w:type="dxa"/>
            <w:tcBorders>
              <w:top w:val="single" w:color="auto" w:sz="4" w:space="0"/>
              <w:bottom w:val="single" w:color="auto" w:sz="4" w:space="0"/>
              <w:right w:val="single" w:color="auto" w:sz="4" w:space="0"/>
            </w:tcBorders>
            <w:vAlign w:val="center"/>
          </w:tcPr>
          <w:p w14:paraId="58C4D97A">
            <w:pPr>
              <w:spacing w:line="360" w:lineRule="auto"/>
              <w:jc w:val="center"/>
              <w:rPr>
                <w:rFonts w:hint="eastAsia"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人员配备及管理方案</w:t>
            </w:r>
            <w:r>
              <w:rPr>
                <w:rFonts w:hint="eastAsia" w:ascii="宋体" w:hAnsi="宋体" w:cs="宋体"/>
                <w:bCs/>
                <w:color w:val="auto"/>
                <w:kern w:val="2"/>
                <w:sz w:val="21"/>
                <w:szCs w:val="21"/>
                <w:highlight w:val="none"/>
                <w:lang w:val="en-US" w:eastAsia="zh-CN" w:bidi="ar-SA"/>
              </w:rPr>
              <w:t>（12分）</w:t>
            </w:r>
          </w:p>
        </w:tc>
        <w:tc>
          <w:tcPr>
            <w:tcW w:w="5803" w:type="dxa"/>
            <w:tcBorders>
              <w:top w:val="single" w:color="auto" w:sz="4" w:space="0"/>
              <w:left w:val="single" w:color="auto" w:sz="4" w:space="0"/>
              <w:bottom w:val="single" w:color="auto" w:sz="4" w:space="0"/>
            </w:tcBorders>
            <w:vAlign w:val="center"/>
          </w:tcPr>
          <w:p w14:paraId="4B50EFA2">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投标人应结合本项目实际情况及特点，提供项目团队配备及管理方案：</w:t>
            </w:r>
          </w:p>
          <w:p w14:paraId="05BD3F30">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①拟投入本项目人员配备，内容细致完善，先进合理且针对性强得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分，内容不完整不合理的扣 0.1-</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没有不得</w:t>
            </w:r>
            <w:r>
              <w:rPr>
                <w:rFonts w:hint="eastAsia" w:ascii="宋体" w:hAnsi="宋体" w:eastAsia="宋体" w:cs="宋体"/>
                <w:bCs/>
                <w:color w:val="auto"/>
                <w:kern w:val="2"/>
                <w:sz w:val="21"/>
                <w:szCs w:val="21"/>
                <w:highlight w:val="none"/>
                <w:lang w:val="en-US" w:eastAsia="zh-CN" w:bidi="ar-SA"/>
              </w:rPr>
              <w:t>分；</w:t>
            </w:r>
          </w:p>
          <w:p w14:paraId="158ECD1E">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②各部门人员职责，内容细致完善，先进合理且针对性强得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分，每一项内容不完整不合理的扣 0.1-</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没有不得</w:t>
            </w:r>
            <w:r>
              <w:rPr>
                <w:rFonts w:hint="eastAsia" w:ascii="宋体" w:hAnsi="宋体" w:eastAsia="宋体" w:cs="宋体"/>
                <w:bCs/>
                <w:color w:val="auto"/>
                <w:kern w:val="2"/>
                <w:sz w:val="21"/>
                <w:szCs w:val="21"/>
                <w:highlight w:val="none"/>
                <w:lang w:val="en-US" w:eastAsia="zh-CN" w:bidi="ar-SA"/>
              </w:rPr>
              <w:t>分；</w:t>
            </w:r>
          </w:p>
          <w:p w14:paraId="1921725E">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③相应管理措施等内容，内容细致完善，先进合理且针对性强得</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分，内容不完整不合理的扣 0.1-</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r>
              <w:rPr>
                <w:rFonts w:hint="eastAsia" w:ascii="宋体" w:hAnsi="宋体" w:cs="宋体"/>
                <w:bCs/>
                <w:color w:val="auto"/>
                <w:kern w:val="2"/>
                <w:sz w:val="21"/>
                <w:szCs w:val="21"/>
                <w:highlight w:val="none"/>
                <w:lang w:val="en-US" w:eastAsia="zh-CN" w:bidi="ar-SA"/>
              </w:rPr>
              <w:t>没有不得</w:t>
            </w:r>
            <w:r>
              <w:rPr>
                <w:rFonts w:hint="eastAsia" w:ascii="宋体" w:hAnsi="宋体" w:eastAsia="宋体" w:cs="宋体"/>
                <w:bCs/>
                <w:color w:val="auto"/>
                <w:kern w:val="2"/>
                <w:sz w:val="21"/>
                <w:szCs w:val="21"/>
                <w:highlight w:val="none"/>
                <w:lang w:val="en-US" w:eastAsia="zh-CN" w:bidi="ar-SA"/>
              </w:rPr>
              <w:t>分；</w:t>
            </w:r>
          </w:p>
        </w:tc>
      </w:tr>
      <w:tr w14:paraId="2AF0B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709" w:type="dxa"/>
            <w:vMerge w:val="continue"/>
            <w:tcBorders>
              <w:right w:val="single" w:color="auto" w:sz="4" w:space="0"/>
            </w:tcBorders>
            <w:vAlign w:val="center"/>
          </w:tcPr>
          <w:p w14:paraId="2B598D8E">
            <w:pPr>
              <w:adjustRightInd w:val="0"/>
              <w:snapToGrid w:val="0"/>
              <w:spacing w:line="430" w:lineRule="atLeast"/>
              <w:rPr>
                <w:color w:val="auto"/>
                <w:szCs w:val="21"/>
                <w:highlight w:val="none"/>
              </w:rPr>
            </w:pPr>
          </w:p>
        </w:tc>
        <w:tc>
          <w:tcPr>
            <w:tcW w:w="962" w:type="dxa"/>
            <w:vMerge w:val="continue"/>
            <w:tcBorders>
              <w:left w:val="single" w:color="auto" w:sz="4" w:space="0"/>
            </w:tcBorders>
            <w:vAlign w:val="center"/>
          </w:tcPr>
          <w:p w14:paraId="09248859">
            <w:pPr>
              <w:adjustRightInd w:val="0"/>
              <w:snapToGrid w:val="0"/>
              <w:spacing w:line="430" w:lineRule="atLeast"/>
              <w:rPr>
                <w:color w:val="auto"/>
                <w:szCs w:val="21"/>
                <w:highlight w:val="none"/>
              </w:rPr>
            </w:pPr>
          </w:p>
        </w:tc>
        <w:tc>
          <w:tcPr>
            <w:tcW w:w="1740" w:type="dxa"/>
            <w:tcBorders>
              <w:top w:val="single" w:color="auto" w:sz="4" w:space="0"/>
              <w:bottom w:val="single" w:color="auto" w:sz="4" w:space="0"/>
              <w:right w:val="single" w:color="auto" w:sz="4" w:space="0"/>
            </w:tcBorders>
            <w:vAlign w:val="center"/>
          </w:tcPr>
          <w:p w14:paraId="1E53B53B">
            <w:pPr>
              <w:spacing w:line="360" w:lineRule="auto"/>
              <w:jc w:val="center"/>
              <w:rPr>
                <w:rFonts w:hint="default" w:ascii="宋体" w:hAnsi="宋体" w:eastAsia="宋体" w:cs="宋体"/>
                <w:bCs/>
                <w:color w:val="auto"/>
                <w:kern w:val="2"/>
                <w:sz w:val="21"/>
                <w:szCs w:val="21"/>
                <w:highlight w:val="none"/>
                <w:lang w:val="en-US" w:eastAsia="zh-CN" w:bidi="ar-SA"/>
              </w:rPr>
            </w:pPr>
            <w:r>
              <w:rPr>
                <w:rFonts w:hint="default" w:ascii="宋体" w:hAnsi="宋体" w:eastAsia="宋体" w:cs="宋体"/>
                <w:bCs/>
                <w:color w:val="auto"/>
                <w:kern w:val="2"/>
                <w:sz w:val="21"/>
                <w:szCs w:val="21"/>
                <w:highlight w:val="none"/>
                <w:lang w:val="en-US" w:eastAsia="zh-CN" w:bidi="ar-SA"/>
              </w:rPr>
              <w:t>质量保证措施</w:t>
            </w:r>
            <w:r>
              <w:rPr>
                <w:rFonts w:hint="eastAsia" w:ascii="宋体" w:hAnsi="宋体" w:cs="宋体"/>
                <w:bCs/>
                <w:color w:val="auto"/>
                <w:kern w:val="2"/>
                <w:sz w:val="21"/>
                <w:szCs w:val="21"/>
                <w:highlight w:val="none"/>
                <w:lang w:val="en-US" w:eastAsia="zh-CN" w:bidi="ar-SA"/>
              </w:rPr>
              <w:t>（5分）</w:t>
            </w:r>
          </w:p>
        </w:tc>
        <w:tc>
          <w:tcPr>
            <w:tcW w:w="5803" w:type="dxa"/>
            <w:tcBorders>
              <w:top w:val="single" w:color="auto" w:sz="4" w:space="0"/>
              <w:left w:val="single" w:color="auto" w:sz="4" w:space="0"/>
              <w:bottom w:val="single" w:color="auto" w:sz="4" w:space="0"/>
            </w:tcBorders>
            <w:vAlign w:val="center"/>
          </w:tcPr>
          <w:p w14:paraId="13F674CD">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投标人结合本项目采购需求制定</w:t>
            </w:r>
            <w:r>
              <w:rPr>
                <w:rFonts w:hint="default" w:ascii="宋体" w:hAnsi="宋体" w:eastAsia="宋体" w:cs="宋体"/>
                <w:bCs/>
                <w:color w:val="auto"/>
                <w:kern w:val="2"/>
                <w:sz w:val="21"/>
                <w:szCs w:val="21"/>
                <w:highlight w:val="none"/>
                <w:lang w:val="en-US" w:eastAsia="zh-CN" w:bidi="ar-SA"/>
              </w:rPr>
              <w:t>质量保证</w:t>
            </w:r>
            <w:r>
              <w:rPr>
                <w:rFonts w:hint="eastAsia" w:ascii="宋体" w:hAnsi="宋体" w:cs="宋体"/>
                <w:bCs/>
                <w:color w:val="auto"/>
                <w:kern w:val="2"/>
                <w:sz w:val="21"/>
                <w:szCs w:val="21"/>
                <w:highlight w:val="none"/>
                <w:lang w:val="en-US" w:eastAsia="zh-CN" w:bidi="ar-SA"/>
              </w:rPr>
              <w:t>措施</w:t>
            </w:r>
            <w:r>
              <w:rPr>
                <w:rFonts w:hint="eastAsia" w:ascii="宋体" w:hAnsi="宋体" w:eastAsia="宋体" w:cs="宋体"/>
                <w:bCs/>
                <w:color w:val="auto"/>
                <w:kern w:val="2"/>
                <w:sz w:val="21"/>
                <w:szCs w:val="21"/>
                <w:highlight w:val="none"/>
                <w:lang w:val="en-US" w:eastAsia="zh-CN" w:bidi="ar-SA"/>
              </w:rPr>
              <w:t>：</w:t>
            </w:r>
          </w:p>
          <w:p w14:paraId="4B606EF6">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质量保证措施的</w:t>
            </w:r>
            <w:r>
              <w:rPr>
                <w:rFonts w:hint="eastAsia" w:ascii="宋体" w:hAnsi="宋体" w:cs="宋体"/>
                <w:bCs/>
                <w:color w:val="auto"/>
                <w:kern w:val="2"/>
                <w:sz w:val="21"/>
                <w:szCs w:val="21"/>
                <w:highlight w:val="none"/>
                <w:lang w:val="en-US" w:eastAsia="zh-CN" w:bidi="ar-SA"/>
              </w:rPr>
              <w:t>内容具有</w:t>
            </w:r>
            <w:r>
              <w:rPr>
                <w:rFonts w:hint="eastAsia" w:ascii="宋体" w:hAnsi="宋体" w:eastAsia="宋体" w:cs="宋体"/>
                <w:bCs/>
                <w:color w:val="auto"/>
                <w:kern w:val="2"/>
                <w:sz w:val="21"/>
                <w:szCs w:val="21"/>
                <w:highlight w:val="none"/>
                <w:lang w:val="en-US" w:eastAsia="zh-CN" w:bidi="ar-SA"/>
              </w:rPr>
              <w:t>科学性、全面性、合理性</w:t>
            </w:r>
            <w:r>
              <w:rPr>
                <w:rFonts w:hint="eastAsia" w:ascii="宋体" w:hAnsi="宋体" w:cs="宋体"/>
                <w:bCs/>
                <w:color w:val="auto"/>
                <w:kern w:val="2"/>
                <w:sz w:val="21"/>
                <w:szCs w:val="21"/>
                <w:highlight w:val="none"/>
                <w:lang w:val="en-US" w:eastAsia="zh-CN" w:bidi="ar-SA"/>
              </w:rPr>
              <w:t>且针对性强得5分</w:t>
            </w:r>
            <w:r>
              <w:rPr>
                <w:rFonts w:hint="eastAsia" w:ascii="宋体" w:hAnsi="宋体" w:eastAsia="宋体" w:cs="宋体"/>
                <w:bCs/>
                <w:color w:val="auto"/>
                <w:kern w:val="2"/>
                <w:sz w:val="21"/>
                <w:szCs w:val="21"/>
                <w:highlight w:val="none"/>
                <w:lang w:val="en-US" w:eastAsia="zh-CN" w:bidi="ar-SA"/>
              </w:rPr>
              <w:t>，内容不完整不合理的扣 0.1-</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分，最多扣</w:t>
            </w:r>
            <w:r>
              <w:rPr>
                <w:rFonts w:hint="eastAsia" w:ascii="宋体" w:hAnsi="宋体" w:cs="宋体"/>
                <w:bCs/>
                <w:color w:val="auto"/>
                <w:kern w:val="2"/>
                <w:sz w:val="21"/>
                <w:szCs w:val="21"/>
                <w:highlight w:val="none"/>
                <w:lang w:val="en-US" w:eastAsia="zh-CN" w:bidi="ar-SA"/>
              </w:rPr>
              <w:t>2.5</w:t>
            </w:r>
            <w:r>
              <w:rPr>
                <w:rFonts w:hint="eastAsia" w:ascii="宋体" w:hAnsi="宋体" w:eastAsia="宋体" w:cs="宋体"/>
                <w:bCs/>
                <w:color w:val="auto"/>
                <w:kern w:val="2"/>
                <w:sz w:val="21"/>
                <w:szCs w:val="21"/>
                <w:highlight w:val="none"/>
                <w:lang w:val="en-US" w:eastAsia="zh-CN" w:bidi="ar-SA"/>
              </w:rPr>
              <w:t>分。</w:t>
            </w:r>
          </w:p>
        </w:tc>
      </w:tr>
      <w:tr w14:paraId="2E0A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09" w:type="dxa"/>
            <w:vMerge w:val="continue"/>
            <w:tcBorders>
              <w:right w:val="single" w:color="auto" w:sz="4" w:space="0"/>
            </w:tcBorders>
            <w:vAlign w:val="center"/>
          </w:tcPr>
          <w:p w14:paraId="6E4EDD0C">
            <w:pPr>
              <w:adjustRightInd w:val="0"/>
              <w:snapToGrid w:val="0"/>
              <w:spacing w:line="430" w:lineRule="atLeast"/>
              <w:rPr>
                <w:color w:val="auto"/>
                <w:szCs w:val="21"/>
                <w:highlight w:val="none"/>
              </w:rPr>
            </w:pPr>
          </w:p>
        </w:tc>
        <w:tc>
          <w:tcPr>
            <w:tcW w:w="962" w:type="dxa"/>
            <w:vMerge w:val="continue"/>
            <w:tcBorders>
              <w:left w:val="single" w:color="auto" w:sz="4" w:space="0"/>
            </w:tcBorders>
            <w:vAlign w:val="center"/>
          </w:tcPr>
          <w:p w14:paraId="146BC33B">
            <w:pPr>
              <w:adjustRightInd w:val="0"/>
              <w:snapToGrid w:val="0"/>
              <w:spacing w:line="430" w:lineRule="atLeast"/>
              <w:rPr>
                <w:color w:val="auto"/>
                <w:szCs w:val="21"/>
                <w:highlight w:val="none"/>
              </w:rPr>
            </w:pPr>
          </w:p>
        </w:tc>
        <w:tc>
          <w:tcPr>
            <w:tcW w:w="1740" w:type="dxa"/>
            <w:tcBorders>
              <w:top w:val="single" w:color="auto" w:sz="4" w:space="0"/>
              <w:bottom w:val="single" w:color="auto" w:sz="4" w:space="0"/>
              <w:right w:val="single" w:color="auto" w:sz="4" w:space="0"/>
            </w:tcBorders>
            <w:vAlign w:val="center"/>
          </w:tcPr>
          <w:p w14:paraId="7A27D343">
            <w:pPr>
              <w:spacing w:line="360" w:lineRule="auto"/>
              <w:jc w:val="center"/>
              <w:rPr>
                <w:rFonts w:hint="default" w:ascii="宋体" w:hAnsi="宋体" w:eastAsia="宋体" w:cs="宋体"/>
                <w:bCs/>
                <w:color w:val="auto"/>
                <w:kern w:val="2"/>
                <w:sz w:val="21"/>
                <w:szCs w:val="21"/>
                <w:highlight w:val="none"/>
                <w:lang w:val="en-US" w:eastAsia="zh-CN" w:bidi="ar-SA"/>
              </w:rPr>
            </w:pPr>
            <w:r>
              <w:rPr>
                <w:rFonts w:hint="eastAsia" w:ascii="宋体" w:hAnsi="宋体"/>
                <w:szCs w:val="21"/>
                <w:highlight w:val="none"/>
              </w:rPr>
              <w:t>售后服务保障</w:t>
            </w:r>
            <w:r>
              <w:rPr>
                <w:rFonts w:hint="default" w:ascii="宋体" w:hAnsi="宋体" w:eastAsia="宋体" w:cs="宋体"/>
                <w:bCs/>
                <w:color w:val="auto"/>
                <w:kern w:val="2"/>
                <w:sz w:val="21"/>
                <w:szCs w:val="21"/>
                <w:highlight w:val="none"/>
                <w:lang w:val="en-US" w:eastAsia="zh-CN" w:bidi="ar-SA"/>
              </w:rPr>
              <w:t>措施</w:t>
            </w:r>
            <w:r>
              <w:rPr>
                <w:rFonts w:hint="eastAsia" w:ascii="宋体" w:hAnsi="宋体" w:cs="宋体"/>
                <w:bCs/>
                <w:color w:val="auto"/>
                <w:kern w:val="2"/>
                <w:sz w:val="21"/>
                <w:szCs w:val="21"/>
                <w:highlight w:val="none"/>
                <w:lang w:val="en-US" w:eastAsia="zh-CN" w:bidi="ar-SA"/>
              </w:rPr>
              <w:t>（4分）</w:t>
            </w:r>
          </w:p>
        </w:tc>
        <w:tc>
          <w:tcPr>
            <w:tcW w:w="5803" w:type="dxa"/>
            <w:tcBorders>
              <w:top w:val="single" w:color="auto" w:sz="4" w:space="0"/>
              <w:left w:val="single" w:color="auto" w:sz="4" w:space="0"/>
              <w:bottom w:val="single" w:color="auto" w:sz="4" w:space="0"/>
            </w:tcBorders>
            <w:vAlign w:val="center"/>
          </w:tcPr>
          <w:p w14:paraId="59DE3EFA">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投标人结合本项目需求制定</w:t>
            </w:r>
            <w:r>
              <w:rPr>
                <w:rFonts w:hint="default" w:ascii="宋体" w:hAnsi="宋体" w:eastAsia="宋体" w:cs="宋体"/>
                <w:bCs/>
                <w:color w:val="auto"/>
                <w:kern w:val="2"/>
                <w:sz w:val="21"/>
                <w:szCs w:val="21"/>
                <w:highlight w:val="none"/>
                <w:lang w:val="en-US" w:eastAsia="zh-CN" w:bidi="ar-SA"/>
              </w:rPr>
              <w:t>售后服务保障</w:t>
            </w:r>
            <w:r>
              <w:rPr>
                <w:rFonts w:hint="eastAsia" w:ascii="宋体" w:hAnsi="宋体" w:cs="宋体"/>
                <w:bCs/>
                <w:color w:val="auto"/>
                <w:kern w:val="2"/>
                <w:sz w:val="21"/>
                <w:szCs w:val="21"/>
                <w:highlight w:val="none"/>
                <w:lang w:val="en-US" w:eastAsia="zh-CN" w:bidi="ar-SA"/>
              </w:rPr>
              <w:t>措施</w:t>
            </w:r>
            <w:r>
              <w:rPr>
                <w:rFonts w:hint="eastAsia" w:ascii="宋体" w:hAnsi="宋体" w:eastAsia="宋体" w:cs="宋体"/>
                <w:bCs/>
                <w:color w:val="auto"/>
                <w:kern w:val="2"/>
                <w:sz w:val="21"/>
                <w:szCs w:val="21"/>
                <w:highlight w:val="none"/>
                <w:lang w:val="en-US" w:eastAsia="zh-CN" w:bidi="ar-SA"/>
              </w:rPr>
              <w:t>：</w:t>
            </w:r>
          </w:p>
          <w:p w14:paraId="01F155F6">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售后服务保障措施的</w:t>
            </w:r>
            <w:r>
              <w:rPr>
                <w:rFonts w:hint="eastAsia" w:ascii="宋体" w:hAnsi="宋体" w:cs="宋体"/>
                <w:bCs/>
                <w:color w:val="auto"/>
                <w:kern w:val="2"/>
                <w:sz w:val="21"/>
                <w:szCs w:val="21"/>
                <w:highlight w:val="none"/>
                <w:lang w:val="en-US" w:eastAsia="zh-CN" w:bidi="ar-SA"/>
              </w:rPr>
              <w:t>内容具有</w:t>
            </w:r>
            <w:r>
              <w:rPr>
                <w:rFonts w:hint="eastAsia" w:ascii="宋体" w:hAnsi="宋体" w:eastAsia="宋体" w:cs="宋体"/>
                <w:bCs/>
                <w:color w:val="auto"/>
                <w:kern w:val="2"/>
                <w:sz w:val="21"/>
                <w:szCs w:val="21"/>
                <w:highlight w:val="none"/>
                <w:lang w:val="en-US" w:eastAsia="zh-CN" w:bidi="ar-SA"/>
              </w:rPr>
              <w:t>科学性、全面性、合理性</w:t>
            </w:r>
            <w:r>
              <w:rPr>
                <w:rFonts w:hint="eastAsia" w:ascii="宋体" w:hAnsi="宋体" w:cs="宋体"/>
                <w:bCs/>
                <w:color w:val="auto"/>
                <w:kern w:val="2"/>
                <w:sz w:val="21"/>
                <w:szCs w:val="21"/>
                <w:highlight w:val="none"/>
                <w:lang w:val="en-US" w:eastAsia="zh-CN" w:bidi="ar-SA"/>
              </w:rPr>
              <w:t>且针对性强得4分</w:t>
            </w:r>
            <w:r>
              <w:rPr>
                <w:rFonts w:hint="eastAsia" w:ascii="宋体" w:hAnsi="宋体" w:eastAsia="宋体" w:cs="宋体"/>
                <w:bCs/>
                <w:color w:val="auto"/>
                <w:kern w:val="2"/>
                <w:sz w:val="21"/>
                <w:szCs w:val="21"/>
                <w:highlight w:val="none"/>
                <w:lang w:val="en-US" w:eastAsia="zh-CN" w:bidi="ar-SA"/>
              </w:rPr>
              <w:t>，内容不完整不合理的扣 0.1-</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分，最多扣</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p>
        </w:tc>
      </w:tr>
      <w:tr w14:paraId="5B891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709" w:type="dxa"/>
            <w:vMerge w:val="restart"/>
            <w:tcBorders>
              <w:top w:val="single" w:color="auto" w:sz="4" w:space="0"/>
              <w:right w:val="single" w:color="auto" w:sz="4" w:space="0"/>
            </w:tcBorders>
            <w:vAlign w:val="center"/>
          </w:tcPr>
          <w:p w14:paraId="1944BFB4">
            <w:pPr>
              <w:adjustRightInd w:val="0"/>
              <w:snapToGrid w:val="0"/>
              <w:spacing w:line="430" w:lineRule="atLeast"/>
              <w:rPr>
                <w:color w:val="auto"/>
                <w:szCs w:val="21"/>
                <w:highlight w:val="none"/>
              </w:rPr>
            </w:pPr>
            <w:r>
              <w:rPr>
                <w:rFonts w:hint="eastAsia"/>
                <w:color w:val="auto"/>
                <w:szCs w:val="21"/>
                <w:highlight w:val="none"/>
              </w:rPr>
              <w:t>2.2.4（</w:t>
            </w:r>
            <w:r>
              <w:rPr>
                <w:rFonts w:hint="eastAsia"/>
                <w:color w:val="auto"/>
                <w:szCs w:val="21"/>
                <w:highlight w:val="none"/>
                <w:lang w:val="en-US" w:eastAsia="zh-CN"/>
              </w:rPr>
              <w:t>3</w:t>
            </w:r>
            <w:r>
              <w:rPr>
                <w:rFonts w:hint="eastAsia"/>
                <w:color w:val="auto"/>
                <w:szCs w:val="21"/>
                <w:highlight w:val="none"/>
              </w:rPr>
              <w:t>）</w:t>
            </w:r>
          </w:p>
        </w:tc>
        <w:tc>
          <w:tcPr>
            <w:tcW w:w="962" w:type="dxa"/>
            <w:vMerge w:val="restart"/>
            <w:tcBorders>
              <w:top w:val="single" w:color="auto" w:sz="4" w:space="0"/>
              <w:left w:val="single" w:color="auto" w:sz="4" w:space="0"/>
            </w:tcBorders>
            <w:vAlign w:val="center"/>
          </w:tcPr>
          <w:p w14:paraId="7355D033">
            <w:pPr>
              <w:adjustRightInd w:val="0"/>
              <w:snapToGrid w:val="0"/>
              <w:spacing w:line="430" w:lineRule="exact"/>
              <w:rPr>
                <w:color w:val="auto"/>
                <w:szCs w:val="21"/>
                <w:highlight w:val="none"/>
              </w:rPr>
            </w:pPr>
            <w:r>
              <w:rPr>
                <w:rFonts w:hint="eastAsia"/>
                <w:color w:val="auto"/>
                <w:szCs w:val="21"/>
                <w:highlight w:val="none"/>
              </w:rPr>
              <w:t>投标报价评分标准满分（</w:t>
            </w:r>
            <w:r>
              <w:rPr>
                <w:rStyle w:val="264"/>
                <w:rFonts w:hint="eastAsia" w:ascii="宋体" w:hAnsi="宋体"/>
                <w:color w:val="auto"/>
                <w:highlight w:val="none"/>
                <w:lang w:val="en-US" w:eastAsia="zh-CN"/>
              </w:rPr>
              <w:t>60</w:t>
            </w:r>
            <w:r>
              <w:rPr>
                <w:rFonts w:hint="eastAsia"/>
                <w:color w:val="auto"/>
                <w:szCs w:val="21"/>
                <w:highlight w:val="none"/>
              </w:rPr>
              <w:t>分）</w:t>
            </w:r>
          </w:p>
        </w:tc>
        <w:tc>
          <w:tcPr>
            <w:tcW w:w="1740" w:type="dxa"/>
            <w:tcBorders>
              <w:top w:val="single" w:color="auto" w:sz="4" w:space="0"/>
            </w:tcBorders>
            <w:vAlign w:val="center"/>
          </w:tcPr>
          <w:p w14:paraId="718EEB25">
            <w:pPr>
              <w:pStyle w:val="198"/>
              <w:spacing w:line="380" w:lineRule="exact"/>
              <w:jc w:val="center"/>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评审基准价</w:t>
            </w:r>
          </w:p>
          <w:p w14:paraId="10FC1D47">
            <w:pPr>
              <w:pStyle w:val="198"/>
              <w:spacing w:line="380" w:lineRule="exact"/>
              <w:jc w:val="center"/>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计算方法</w:t>
            </w:r>
          </w:p>
        </w:tc>
        <w:tc>
          <w:tcPr>
            <w:tcW w:w="5803" w:type="dxa"/>
            <w:tcBorders>
              <w:top w:val="single" w:color="auto" w:sz="4" w:space="0"/>
            </w:tcBorders>
            <w:vAlign w:val="center"/>
          </w:tcPr>
          <w:p w14:paraId="73DA823C">
            <w:pPr>
              <w:spacing w:line="360" w:lineRule="auto"/>
              <w:rPr>
                <w:rFonts w:hint="eastAsia" w:eastAsia="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1、经评审为各投标人有效响应报价中的</w:t>
            </w:r>
            <w:r>
              <w:rPr>
                <w:rFonts w:hint="eastAsia" w:ascii="宋体" w:hAnsi="宋体" w:cs="宋体"/>
                <w:bCs/>
                <w:color w:val="auto"/>
                <w:kern w:val="2"/>
                <w:sz w:val="21"/>
                <w:szCs w:val="21"/>
                <w:highlight w:val="none"/>
                <w:lang w:val="en-US" w:eastAsia="zh-CN" w:bidi="ar-SA"/>
              </w:rPr>
              <w:t>平均值</w:t>
            </w:r>
            <w:r>
              <w:rPr>
                <w:rFonts w:hint="eastAsia" w:ascii="宋体" w:hAnsi="宋体" w:eastAsia="宋体" w:cs="宋体"/>
                <w:bCs/>
                <w:color w:val="auto"/>
                <w:kern w:val="2"/>
                <w:sz w:val="21"/>
                <w:szCs w:val="21"/>
                <w:highlight w:val="none"/>
                <w:lang w:val="en-US" w:eastAsia="zh-CN" w:bidi="ar-SA"/>
              </w:rPr>
              <w:t>为评审基准价。</w:t>
            </w:r>
          </w:p>
        </w:tc>
      </w:tr>
      <w:tr w14:paraId="2FEFE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09" w:type="dxa"/>
            <w:vMerge w:val="continue"/>
            <w:tcBorders>
              <w:right w:val="single" w:color="auto" w:sz="4" w:space="0"/>
            </w:tcBorders>
            <w:vAlign w:val="center"/>
          </w:tcPr>
          <w:p w14:paraId="0F6279E6">
            <w:pPr>
              <w:adjustRightInd w:val="0"/>
              <w:snapToGrid w:val="0"/>
              <w:spacing w:line="430" w:lineRule="atLeast"/>
              <w:rPr>
                <w:rFonts w:hint="eastAsia"/>
                <w:color w:val="auto"/>
                <w:szCs w:val="21"/>
                <w:highlight w:val="none"/>
              </w:rPr>
            </w:pPr>
          </w:p>
        </w:tc>
        <w:tc>
          <w:tcPr>
            <w:tcW w:w="962" w:type="dxa"/>
            <w:vMerge w:val="continue"/>
            <w:tcBorders>
              <w:left w:val="single" w:color="auto" w:sz="4" w:space="0"/>
            </w:tcBorders>
            <w:vAlign w:val="center"/>
          </w:tcPr>
          <w:p w14:paraId="2BAABD50">
            <w:pPr>
              <w:adjustRightInd w:val="0"/>
              <w:snapToGrid w:val="0"/>
              <w:spacing w:line="430" w:lineRule="exact"/>
              <w:rPr>
                <w:rFonts w:hint="eastAsia"/>
                <w:color w:val="auto"/>
                <w:szCs w:val="21"/>
                <w:highlight w:val="none"/>
              </w:rPr>
            </w:pPr>
          </w:p>
        </w:tc>
        <w:tc>
          <w:tcPr>
            <w:tcW w:w="1740" w:type="dxa"/>
            <w:tcBorders>
              <w:top w:val="single" w:color="auto" w:sz="4" w:space="0"/>
            </w:tcBorders>
            <w:vAlign w:val="center"/>
          </w:tcPr>
          <w:p w14:paraId="4BD91E3A">
            <w:pPr>
              <w:pStyle w:val="198"/>
              <w:spacing w:line="380" w:lineRule="exact"/>
              <w:jc w:val="center"/>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投标报价评审标准（</w:t>
            </w:r>
            <w:r>
              <w:rPr>
                <w:rFonts w:hint="eastAsia" w:ascii="Times New Roman" w:hAnsi="Times New Roman" w:cs="Times New Roman"/>
                <w:color w:val="auto"/>
                <w:kern w:val="2"/>
                <w:sz w:val="21"/>
                <w:szCs w:val="20"/>
                <w:highlight w:val="none"/>
                <w:lang w:val="en-US" w:eastAsia="zh-CN" w:bidi="ar-SA"/>
              </w:rPr>
              <w:t>60</w:t>
            </w:r>
            <w:r>
              <w:rPr>
                <w:rFonts w:hint="eastAsia" w:ascii="Times New Roman" w:hAnsi="Times New Roman" w:eastAsia="宋体" w:cs="Times New Roman"/>
                <w:color w:val="auto"/>
                <w:kern w:val="2"/>
                <w:sz w:val="21"/>
                <w:szCs w:val="20"/>
                <w:highlight w:val="none"/>
                <w:lang w:val="en-US" w:eastAsia="zh-CN" w:bidi="ar-SA"/>
              </w:rPr>
              <w:t>分）</w:t>
            </w:r>
          </w:p>
        </w:tc>
        <w:tc>
          <w:tcPr>
            <w:tcW w:w="5803" w:type="dxa"/>
            <w:tcBorders>
              <w:top w:val="single" w:color="auto" w:sz="4" w:space="0"/>
            </w:tcBorders>
            <w:vAlign w:val="top"/>
          </w:tcPr>
          <w:p w14:paraId="5CFF1CE6">
            <w:pPr>
              <w:spacing w:line="360" w:lineRule="auto"/>
              <w:rPr>
                <w:rFonts w:hint="eastAsia" w:eastAsia="宋体"/>
                <w:color w:val="auto"/>
                <w:highlight w:val="none"/>
                <w:lang w:val="en-US" w:eastAsia="zh-CN"/>
              </w:rPr>
            </w:pPr>
            <w:r>
              <w:rPr>
                <w:rFonts w:hint="eastAsia" w:eastAsia="宋体"/>
                <w:color w:val="auto"/>
                <w:highlight w:val="none"/>
                <w:lang w:val="en-US" w:eastAsia="zh-CN"/>
              </w:rPr>
              <w:t>(1)当有效响应文件等于或多于5家时，将所有供货商的有效评审报价去掉最高报价、最低报价后的算术平均值作为评审标准值，评审标准值在整个评审过程中不变。</w:t>
            </w:r>
          </w:p>
          <w:p w14:paraId="1C760A6E">
            <w:pPr>
              <w:spacing w:line="360" w:lineRule="auto"/>
              <w:rPr>
                <w:rFonts w:hint="eastAsia"/>
                <w:color w:val="auto"/>
                <w:highlight w:val="none"/>
              </w:rPr>
            </w:pPr>
            <w:r>
              <w:rPr>
                <w:rFonts w:hint="eastAsia" w:eastAsia="宋体"/>
                <w:color w:val="auto"/>
                <w:highlight w:val="none"/>
                <w:lang w:val="en-US" w:eastAsia="zh-CN"/>
              </w:rPr>
              <w:t>(2)当有效响应文件少于5家时（不含5家），以所有评审报价的算术平均值作为评审标准值。当供货商评审总报价等于评审标准值的，得满分60分。以评审标准值为基准值，报价每高于基准值1%扣减0.5分，最多减10分；报价每低于基准值1%扣减0.3分，最多减10分；中间值按插入法计算，所有计算得分保留小数点后2位。</w:t>
            </w:r>
          </w:p>
        </w:tc>
      </w:tr>
      <w:tr w14:paraId="221D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709" w:type="dxa"/>
            <w:tcBorders>
              <w:top w:val="single" w:color="auto" w:sz="4" w:space="0"/>
              <w:right w:val="single" w:color="auto" w:sz="4" w:space="0"/>
            </w:tcBorders>
          </w:tcPr>
          <w:p w14:paraId="703ECA5E">
            <w:pPr>
              <w:spacing w:line="430" w:lineRule="exact"/>
              <w:jc w:val="center"/>
              <w:rPr>
                <w:rFonts w:asciiTheme="minorEastAsia" w:hAnsiTheme="minorEastAsia"/>
                <w:color w:val="auto"/>
                <w:szCs w:val="21"/>
                <w:highlight w:val="none"/>
              </w:rPr>
            </w:pPr>
            <w:r>
              <w:rPr>
                <w:rFonts w:hint="eastAsia"/>
                <w:color w:val="auto"/>
                <w:szCs w:val="21"/>
                <w:highlight w:val="none"/>
              </w:rPr>
              <w:t>2.2.4（</w:t>
            </w:r>
            <w:r>
              <w:rPr>
                <w:rFonts w:hint="eastAsia"/>
                <w:color w:val="auto"/>
                <w:szCs w:val="21"/>
                <w:highlight w:val="none"/>
                <w:lang w:val="en-US" w:eastAsia="zh-CN"/>
              </w:rPr>
              <w:t>4</w:t>
            </w:r>
            <w:r>
              <w:rPr>
                <w:rFonts w:hint="eastAsia"/>
                <w:color w:val="auto"/>
                <w:szCs w:val="21"/>
                <w:highlight w:val="none"/>
              </w:rPr>
              <w:t>）</w:t>
            </w:r>
          </w:p>
        </w:tc>
        <w:tc>
          <w:tcPr>
            <w:tcW w:w="962" w:type="dxa"/>
            <w:tcBorders>
              <w:top w:val="single" w:color="auto" w:sz="4" w:space="0"/>
              <w:left w:val="single" w:color="auto" w:sz="4" w:space="0"/>
            </w:tcBorders>
            <w:vAlign w:val="center"/>
          </w:tcPr>
          <w:p w14:paraId="11BFF534">
            <w:pPr>
              <w:spacing w:line="43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其他</w:t>
            </w:r>
            <w:r>
              <w:rPr>
                <w:rFonts w:asciiTheme="minorEastAsia" w:hAnsiTheme="minorEastAsia"/>
                <w:color w:val="auto"/>
                <w:szCs w:val="21"/>
                <w:highlight w:val="none"/>
              </w:rPr>
              <w:t>因素评分标准</w:t>
            </w:r>
          </w:p>
        </w:tc>
        <w:tc>
          <w:tcPr>
            <w:tcW w:w="1740" w:type="dxa"/>
            <w:tcBorders>
              <w:top w:val="single" w:color="auto" w:sz="4" w:space="0"/>
            </w:tcBorders>
            <w:vAlign w:val="center"/>
          </w:tcPr>
          <w:p w14:paraId="66A1879D">
            <w:pPr>
              <w:spacing w:line="43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w:t>
            </w:r>
          </w:p>
        </w:tc>
        <w:tc>
          <w:tcPr>
            <w:tcW w:w="5803" w:type="dxa"/>
            <w:tcBorders>
              <w:top w:val="single" w:color="auto" w:sz="4" w:space="0"/>
            </w:tcBorders>
            <w:vAlign w:val="center"/>
          </w:tcPr>
          <w:p w14:paraId="4E8682E1">
            <w:pPr>
              <w:spacing w:line="430" w:lineRule="exact"/>
              <w:jc w:val="left"/>
              <w:rPr>
                <w:rFonts w:asciiTheme="minorEastAsia" w:hAnsiTheme="minorEastAsia"/>
                <w:color w:val="auto"/>
                <w:szCs w:val="21"/>
                <w:highlight w:val="none"/>
              </w:rPr>
            </w:pPr>
            <w:r>
              <w:rPr>
                <w:rFonts w:hint="eastAsia" w:asciiTheme="minorEastAsia" w:hAnsiTheme="minorEastAsia"/>
                <w:color w:val="auto"/>
                <w:szCs w:val="21"/>
                <w:highlight w:val="none"/>
              </w:rPr>
              <w:t>/</w:t>
            </w:r>
          </w:p>
        </w:tc>
      </w:tr>
    </w:tbl>
    <w:p w14:paraId="5173F192">
      <w:pPr>
        <w:rPr>
          <w:color w:val="auto"/>
          <w:szCs w:val="21"/>
          <w:highlight w:val="none"/>
        </w:rPr>
        <w:sectPr>
          <w:headerReference r:id="rId12" w:type="first"/>
          <w:headerReference r:id="rId10" w:type="default"/>
          <w:footerReference r:id="rId13" w:type="default"/>
          <w:headerReference r:id="rId11" w:type="even"/>
          <w:footerReference r:id="rId14" w:type="even"/>
          <w:type w:val="continuous"/>
          <w:pgSz w:w="11906" w:h="16838"/>
          <w:pgMar w:top="1588" w:right="1418" w:bottom="1418" w:left="1418" w:header="850" w:footer="1077" w:gutter="0"/>
          <w:pgNumType w:fmt="decimal"/>
          <w:cols w:space="720" w:num="1"/>
          <w:docGrid w:type="lines" w:linePitch="312" w:charSpace="0"/>
        </w:sectPr>
      </w:pPr>
    </w:p>
    <w:p w14:paraId="5C4A7D14">
      <w:pPr>
        <w:autoSpaceDE w:val="0"/>
        <w:autoSpaceDN w:val="0"/>
        <w:adjustRightInd w:val="0"/>
        <w:spacing w:line="430" w:lineRule="exact"/>
        <w:ind w:firstLine="643" w:firstLineChars="200"/>
        <w:jc w:val="left"/>
        <w:rPr>
          <w:rFonts w:ascii="黑体" w:eastAsia="黑体" w:cs="黑体"/>
          <w:color w:val="auto"/>
          <w:kern w:val="0"/>
          <w:sz w:val="32"/>
          <w:szCs w:val="32"/>
          <w:highlight w:val="none"/>
        </w:rPr>
      </w:pPr>
      <w:r>
        <w:rPr>
          <w:b/>
          <w:bCs/>
          <w:color w:val="auto"/>
          <w:kern w:val="0"/>
          <w:sz w:val="32"/>
          <w:szCs w:val="32"/>
          <w:highlight w:val="none"/>
        </w:rPr>
        <w:t xml:space="preserve">1. </w:t>
      </w:r>
      <w:r>
        <w:rPr>
          <w:rFonts w:hint="eastAsia" w:ascii="黑体" w:eastAsia="黑体" w:cs="黑体"/>
          <w:color w:val="auto"/>
          <w:kern w:val="0"/>
          <w:sz w:val="32"/>
          <w:szCs w:val="32"/>
          <w:highlight w:val="none"/>
        </w:rPr>
        <w:t>评标方法</w:t>
      </w:r>
    </w:p>
    <w:p w14:paraId="0054105F">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本次评标采用综合评估法。评标委员会对满足招标文件实质性要求的投标文件，按照本章第</w:t>
      </w:r>
      <w:r>
        <w:rPr>
          <w:color w:val="auto"/>
          <w:kern w:val="0"/>
          <w:szCs w:val="21"/>
          <w:highlight w:val="none"/>
        </w:rPr>
        <w:t>2.2</w:t>
      </w:r>
      <w:r>
        <w:rPr>
          <w:rFonts w:hint="eastAsia" w:ascii="宋体" w:cs="宋体"/>
          <w:color w:val="auto"/>
          <w:kern w:val="0"/>
          <w:szCs w:val="21"/>
          <w:highlight w:val="none"/>
        </w:rPr>
        <w:t>款规定的评分标准进行打分，并按得分由高到低顺序推荐中标候选人。同时评标委员会根据招标人授权直接确定中标人，但投标报价低于其成本的除外。综合评分相等时，以投标报价低的优先；投标报价也相等的，以技术部分得分高的优先；如果技术部分得分也相等，按照评标办法前附表的规定确定中标候选人顺序。</w:t>
      </w:r>
    </w:p>
    <w:p w14:paraId="5C650132">
      <w:pPr>
        <w:autoSpaceDE w:val="0"/>
        <w:autoSpaceDN w:val="0"/>
        <w:adjustRightInd w:val="0"/>
        <w:spacing w:line="430" w:lineRule="exact"/>
        <w:ind w:firstLine="643" w:firstLineChars="200"/>
        <w:jc w:val="left"/>
        <w:rPr>
          <w:rFonts w:ascii="黑体" w:eastAsia="黑体" w:cs="黑体"/>
          <w:color w:val="auto"/>
          <w:kern w:val="0"/>
          <w:sz w:val="32"/>
          <w:szCs w:val="32"/>
          <w:highlight w:val="none"/>
        </w:rPr>
      </w:pPr>
      <w:r>
        <w:rPr>
          <w:b/>
          <w:bCs/>
          <w:color w:val="auto"/>
          <w:kern w:val="0"/>
          <w:sz w:val="32"/>
          <w:szCs w:val="32"/>
          <w:highlight w:val="none"/>
        </w:rPr>
        <w:t xml:space="preserve">2. </w:t>
      </w:r>
      <w:r>
        <w:rPr>
          <w:rFonts w:hint="eastAsia" w:ascii="黑体" w:eastAsia="黑体" w:cs="黑体"/>
          <w:color w:val="auto"/>
          <w:kern w:val="0"/>
          <w:sz w:val="32"/>
          <w:szCs w:val="32"/>
          <w:highlight w:val="none"/>
        </w:rPr>
        <w:t>评审标准</w:t>
      </w:r>
    </w:p>
    <w:p w14:paraId="3C53E95C">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rFonts w:eastAsia="黑体"/>
          <w:color w:val="auto"/>
          <w:kern w:val="0"/>
          <w:sz w:val="28"/>
          <w:szCs w:val="28"/>
          <w:highlight w:val="none"/>
        </w:rPr>
        <w:t xml:space="preserve">2.1 </w:t>
      </w:r>
      <w:r>
        <w:rPr>
          <w:rFonts w:hint="eastAsia" w:ascii="黑体" w:eastAsia="黑体" w:cs="黑体"/>
          <w:color w:val="auto"/>
          <w:kern w:val="0"/>
          <w:sz w:val="28"/>
          <w:szCs w:val="28"/>
          <w:highlight w:val="none"/>
        </w:rPr>
        <w:t>初步评审标准</w:t>
      </w:r>
    </w:p>
    <w:p w14:paraId="709F3F0F">
      <w:pPr>
        <w:autoSpaceDE w:val="0"/>
        <w:autoSpaceDN w:val="0"/>
        <w:adjustRightInd w:val="0"/>
        <w:spacing w:line="430" w:lineRule="exact"/>
        <w:ind w:firstLine="420" w:firstLineChars="200"/>
        <w:jc w:val="left"/>
        <w:rPr>
          <w:rFonts w:ascii="宋体" w:cs="宋体"/>
          <w:color w:val="auto"/>
          <w:kern w:val="0"/>
          <w:szCs w:val="21"/>
          <w:highlight w:val="none"/>
        </w:rPr>
      </w:pPr>
      <w:r>
        <w:rPr>
          <w:rFonts w:eastAsia="黑体"/>
          <w:color w:val="auto"/>
          <w:kern w:val="0"/>
          <w:szCs w:val="21"/>
          <w:highlight w:val="none"/>
        </w:rPr>
        <w:t xml:space="preserve">2.1.1 </w:t>
      </w:r>
      <w:r>
        <w:rPr>
          <w:rFonts w:hint="eastAsia" w:ascii="宋体" w:cs="宋体"/>
          <w:color w:val="auto"/>
          <w:kern w:val="0"/>
          <w:szCs w:val="21"/>
          <w:highlight w:val="none"/>
        </w:rPr>
        <w:t>形式评审标准：见评标办法前附表。</w:t>
      </w:r>
    </w:p>
    <w:p w14:paraId="22B20B92">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2.1.2 </w:t>
      </w:r>
      <w:r>
        <w:rPr>
          <w:rFonts w:hint="eastAsia" w:ascii="宋体" w:cs="宋体"/>
          <w:color w:val="auto"/>
          <w:kern w:val="0"/>
          <w:szCs w:val="21"/>
          <w:highlight w:val="none"/>
        </w:rPr>
        <w:t>资格评审标准：见评标办法前附表。</w:t>
      </w:r>
    </w:p>
    <w:p w14:paraId="50F417FA">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2.1.3 </w:t>
      </w:r>
      <w:r>
        <w:rPr>
          <w:rFonts w:hint="eastAsia" w:ascii="宋体" w:cs="宋体"/>
          <w:color w:val="auto"/>
          <w:kern w:val="0"/>
          <w:szCs w:val="21"/>
          <w:highlight w:val="none"/>
        </w:rPr>
        <w:t>响应性评审标准：见评标办法前附表。</w:t>
      </w:r>
    </w:p>
    <w:p w14:paraId="6AF5CF72">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color w:val="auto"/>
          <w:kern w:val="0"/>
          <w:sz w:val="28"/>
          <w:szCs w:val="28"/>
          <w:highlight w:val="none"/>
        </w:rPr>
        <w:t xml:space="preserve">2.2 </w:t>
      </w:r>
      <w:r>
        <w:rPr>
          <w:rFonts w:hint="eastAsia" w:ascii="黑体" w:eastAsia="黑体" w:cs="黑体"/>
          <w:color w:val="auto"/>
          <w:kern w:val="0"/>
          <w:sz w:val="28"/>
          <w:szCs w:val="28"/>
          <w:highlight w:val="none"/>
        </w:rPr>
        <w:t>分值构成与评分标准</w:t>
      </w:r>
    </w:p>
    <w:p w14:paraId="1708260B">
      <w:pPr>
        <w:autoSpaceDE w:val="0"/>
        <w:autoSpaceDN w:val="0"/>
        <w:adjustRightInd w:val="0"/>
        <w:spacing w:line="430" w:lineRule="exact"/>
        <w:ind w:firstLine="420" w:firstLineChars="200"/>
        <w:jc w:val="left"/>
        <w:rPr>
          <w:rFonts w:ascii="宋体" w:cs="宋体"/>
          <w:color w:val="auto"/>
          <w:kern w:val="0"/>
          <w:szCs w:val="21"/>
          <w:highlight w:val="none"/>
        </w:rPr>
      </w:pPr>
      <w:r>
        <w:rPr>
          <w:rFonts w:eastAsia="黑体"/>
          <w:color w:val="auto"/>
          <w:kern w:val="0"/>
          <w:szCs w:val="21"/>
          <w:highlight w:val="none"/>
        </w:rPr>
        <w:t xml:space="preserve">2.2.1 </w:t>
      </w:r>
      <w:r>
        <w:rPr>
          <w:rFonts w:hint="eastAsia" w:ascii="宋体" w:cs="宋体"/>
          <w:color w:val="auto"/>
          <w:kern w:val="0"/>
          <w:szCs w:val="21"/>
          <w:highlight w:val="none"/>
        </w:rPr>
        <w:t>分值构成</w:t>
      </w:r>
    </w:p>
    <w:p w14:paraId="123A3208">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）资信业绩部分：见评标办法前附表；</w:t>
      </w:r>
    </w:p>
    <w:p w14:paraId="71501751">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）技术部分：见评标办法前附表；</w:t>
      </w:r>
    </w:p>
    <w:p w14:paraId="7858EA48">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3</w:t>
      </w:r>
      <w:r>
        <w:rPr>
          <w:rFonts w:hint="eastAsia" w:ascii="宋体" w:cs="宋体"/>
          <w:color w:val="auto"/>
          <w:kern w:val="0"/>
          <w:szCs w:val="21"/>
          <w:highlight w:val="none"/>
        </w:rPr>
        <w:t>）投标报价：见评标办法前附表；</w:t>
      </w:r>
    </w:p>
    <w:p w14:paraId="37443200">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4</w:t>
      </w:r>
      <w:r>
        <w:rPr>
          <w:rFonts w:hint="eastAsia" w:ascii="宋体" w:cs="宋体"/>
          <w:color w:val="auto"/>
          <w:kern w:val="0"/>
          <w:szCs w:val="21"/>
          <w:highlight w:val="none"/>
        </w:rPr>
        <w:t>）其他评分因素：见评标办法前附表。</w:t>
      </w:r>
    </w:p>
    <w:p w14:paraId="4721E58B">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2.2.2 </w:t>
      </w:r>
      <w:r>
        <w:rPr>
          <w:rFonts w:hint="eastAsia" w:ascii="宋体" w:cs="宋体"/>
          <w:color w:val="auto"/>
          <w:kern w:val="0"/>
          <w:szCs w:val="21"/>
          <w:highlight w:val="none"/>
        </w:rPr>
        <w:t>评标基准价计算</w:t>
      </w:r>
    </w:p>
    <w:p w14:paraId="4C6C83E1">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评标基准价计算方法：见评标办法前附表。</w:t>
      </w:r>
    </w:p>
    <w:p w14:paraId="17BD374A">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2.2.3 </w:t>
      </w:r>
      <w:r>
        <w:rPr>
          <w:rFonts w:hint="eastAsia" w:ascii="宋体" w:cs="宋体"/>
          <w:color w:val="auto"/>
          <w:kern w:val="0"/>
          <w:szCs w:val="21"/>
          <w:highlight w:val="none"/>
        </w:rPr>
        <w:t>投标报价的偏差率计算</w:t>
      </w:r>
    </w:p>
    <w:p w14:paraId="6EBA6128">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投标报价的偏差率计算公式：见评标办法前附表。</w:t>
      </w:r>
    </w:p>
    <w:p w14:paraId="1A90953D">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2.2.4 </w:t>
      </w:r>
      <w:r>
        <w:rPr>
          <w:rFonts w:hint="eastAsia" w:ascii="宋体" w:cs="宋体"/>
          <w:color w:val="auto"/>
          <w:kern w:val="0"/>
          <w:szCs w:val="21"/>
          <w:highlight w:val="none"/>
        </w:rPr>
        <w:t>评分标准</w:t>
      </w:r>
    </w:p>
    <w:p w14:paraId="6120A5C2">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）资信业绩评分标准：见评标办法前附表；</w:t>
      </w:r>
    </w:p>
    <w:p w14:paraId="59B56FD4">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）技术部分评分标准：见评标办法前附表；</w:t>
      </w:r>
    </w:p>
    <w:p w14:paraId="48581362">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3</w:t>
      </w:r>
      <w:r>
        <w:rPr>
          <w:rFonts w:hint="eastAsia" w:ascii="宋体" w:cs="宋体"/>
          <w:color w:val="auto"/>
          <w:kern w:val="0"/>
          <w:szCs w:val="21"/>
          <w:highlight w:val="none"/>
        </w:rPr>
        <w:t>）投标报价评分标准：见评标办法前附表；</w:t>
      </w:r>
    </w:p>
    <w:p w14:paraId="0E0FC711">
      <w:pPr>
        <w:spacing w:line="430" w:lineRule="exact"/>
        <w:ind w:firstLine="420" w:firstLineChars="200"/>
        <w:rPr>
          <w:color w:val="auto"/>
          <w:highlight w:val="none"/>
        </w:rPr>
      </w:pPr>
      <w:r>
        <w:rPr>
          <w:rFonts w:hint="eastAsia" w:ascii="宋体" w:cs="宋体"/>
          <w:color w:val="auto"/>
          <w:kern w:val="0"/>
          <w:szCs w:val="21"/>
          <w:highlight w:val="none"/>
        </w:rPr>
        <w:t>（</w:t>
      </w:r>
      <w:r>
        <w:rPr>
          <w:color w:val="auto"/>
          <w:kern w:val="0"/>
          <w:szCs w:val="21"/>
          <w:highlight w:val="none"/>
        </w:rPr>
        <w:t>4</w:t>
      </w:r>
      <w:r>
        <w:rPr>
          <w:rFonts w:hint="eastAsia" w:ascii="宋体" w:cs="宋体"/>
          <w:color w:val="auto"/>
          <w:kern w:val="0"/>
          <w:szCs w:val="21"/>
          <w:highlight w:val="none"/>
        </w:rPr>
        <w:t>）其他因素评分标准：见评标办法前附表。</w:t>
      </w:r>
    </w:p>
    <w:p w14:paraId="68701AB3">
      <w:pPr>
        <w:autoSpaceDE w:val="0"/>
        <w:autoSpaceDN w:val="0"/>
        <w:adjustRightInd w:val="0"/>
        <w:spacing w:line="430" w:lineRule="exact"/>
        <w:ind w:firstLine="643" w:firstLineChars="200"/>
        <w:jc w:val="left"/>
        <w:rPr>
          <w:rFonts w:ascii="黑体" w:eastAsia="黑体" w:cs="黑体"/>
          <w:color w:val="auto"/>
          <w:kern w:val="0"/>
          <w:sz w:val="32"/>
          <w:szCs w:val="32"/>
          <w:highlight w:val="none"/>
        </w:rPr>
      </w:pPr>
      <w:r>
        <w:rPr>
          <w:b/>
          <w:bCs/>
          <w:color w:val="auto"/>
          <w:kern w:val="0"/>
          <w:sz w:val="32"/>
          <w:szCs w:val="32"/>
          <w:highlight w:val="none"/>
        </w:rPr>
        <w:t xml:space="preserve">3. </w:t>
      </w:r>
      <w:r>
        <w:rPr>
          <w:rFonts w:hint="eastAsia" w:ascii="黑体" w:eastAsia="黑体" w:cs="黑体"/>
          <w:color w:val="auto"/>
          <w:kern w:val="0"/>
          <w:sz w:val="32"/>
          <w:szCs w:val="32"/>
          <w:highlight w:val="none"/>
        </w:rPr>
        <w:t>评标程序</w:t>
      </w:r>
    </w:p>
    <w:p w14:paraId="39C3F26F">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rFonts w:eastAsia="黑体"/>
          <w:color w:val="auto"/>
          <w:kern w:val="0"/>
          <w:sz w:val="28"/>
          <w:szCs w:val="28"/>
          <w:highlight w:val="none"/>
        </w:rPr>
        <w:t xml:space="preserve">3.1 </w:t>
      </w:r>
      <w:r>
        <w:rPr>
          <w:rFonts w:hint="eastAsia" w:ascii="黑体" w:eastAsia="黑体" w:cs="黑体"/>
          <w:color w:val="auto"/>
          <w:kern w:val="0"/>
          <w:sz w:val="28"/>
          <w:szCs w:val="28"/>
          <w:highlight w:val="none"/>
        </w:rPr>
        <w:t>初步评审</w:t>
      </w:r>
    </w:p>
    <w:p w14:paraId="5DAA6150">
      <w:pPr>
        <w:autoSpaceDE w:val="0"/>
        <w:autoSpaceDN w:val="0"/>
        <w:adjustRightInd w:val="0"/>
        <w:spacing w:line="430" w:lineRule="exact"/>
        <w:ind w:firstLine="420" w:firstLineChars="200"/>
        <w:jc w:val="left"/>
        <w:rPr>
          <w:rFonts w:ascii="宋体" w:cs="宋体"/>
          <w:color w:val="auto"/>
          <w:kern w:val="0"/>
          <w:szCs w:val="21"/>
          <w:highlight w:val="none"/>
        </w:rPr>
      </w:pPr>
      <w:r>
        <w:rPr>
          <w:rFonts w:eastAsia="黑体"/>
          <w:color w:val="auto"/>
          <w:kern w:val="0"/>
          <w:szCs w:val="21"/>
          <w:highlight w:val="none"/>
        </w:rPr>
        <w:t xml:space="preserve">3.1.1 </w:t>
      </w:r>
      <w:r>
        <w:rPr>
          <w:rFonts w:hint="eastAsia" w:ascii="宋体" w:cs="宋体"/>
          <w:color w:val="auto"/>
          <w:kern w:val="0"/>
          <w:szCs w:val="21"/>
          <w:highlight w:val="none"/>
        </w:rPr>
        <w:t>评标委员会可以要求投标人提交第二章</w:t>
      </w:r>
      <w:r>
        <w:rPr>
          <w:color w:val="auto"/>
          <w:kern w:val="0"/>
          <w:szCs w:val="21"/>
          <w:highlight w:val="none"/>
        </w:rPr>
        <w:t>“</w:t>
      </w:r>
      <w:r>
        <w:rPr>
          <w:rFonts w:hint="eastAsia" w:ascii="宋体" w:cs="宋体"/>
          <w:color w:val="auto"/>
          <w:kern w:val="0"/>
          <w:szCs w:val="21"/>
          <w:highlight w:val="none"/>
        </w:rPr>
        <w:t>投标人须知</w:t>
      </w:r>
      <w:r>
        <w:rPr>
          <w:color w:val="auto"/>
          <w:kern w:val="0"/>
          <w:szCs w:val="21"/>
          <w:highlight w:val="none"/>
        </w:rPr>
        <w:t>”</w:t>
      </w:r>
      <w:r>
        <w:rPr>
          <w:rFonts w:hint="eastAsia" w:ascii="宋体" w:cs="宋体"/>
          <w:color w:val="auto"/>
          <w:kern w:val="0"/>
          <w:szCs w:val="21"/>
          <w:highlight w:val="none"/>
        </w:rPr>
        <w:t>规定的有关证明和证件的原件的</w:t>
      </w:r>
      <w:r>
        <w:rPr>
          <w:rFonts w:ascii="宋体" w:cs="宋体"/>
          <w:color w:val="auto"/>
          <w:kern w:val="0"/>
          <w:szCs w:val="21"/>
          <w:highlight w:val="none"/>
        </w:rPr>
        <w:t>扫描件</w:t>
      </w:r>
      <w:r>
        <w:rPr>
          <w:rFonts w:hint="eastAsia" w:ascii="宋体" w:cs="宋体"/>
          <w:color w:val="auto"/>
          <w:kern w:val="0"/>
          <w:szCs w:val="21"/>
          <w:highlight w:val="none"/>
        </w:rPr>
        <w:t>，以便核验。评标委员会依据本章第</w:t>
      </w:r>
      <w:r>
        <w:rPr>
          <w:color w:val="auto"/>
          <w:kern w:val="0"/>
          <w:szCs w:val="21"/>
          <w:highlight w:val="none"/>
        </w:rPr>
        <w:t>2.1</w:t>
      </w:r>
      <w:r>
        <w:rPr>
          <w:rFonts w:hint="eastAsia" w:ascii="宋体" w:cs="宋体"/>
          <w:color w:val="auto"/>
          <w:kern w:val="0"/>
          <w:szCs w:val="21"/>
          <w:highlight w:val="none"/>
        </w:rPr>
        <w:t>款规定的标准对投标文件进行初步评审。有一项不符合评审标准的，评标委员会应当否决其投标。</w:t>
      </w:r>
    </w:p>
    <w:p w14:paraId="22A1DD6D">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3.1.2 </w:t>
      </w:r>
      <w:r>
        <w:rPr>
          <w:rFonts w:hint="eastAsia" w:ascii="宋体" w:cs="宋体"/>
          <w:color w:val="auto"/>
          <w:kern w:val="0"/>
          <w:szCs w:val="21"/>
          <w:highlight w:val="none"/>
        </w:rPr>
        <w:t>投标人有以下情形之一的，评标委员会应当否决其投标：</w:t>
      </w:r>
    </w:p>
    <w:p w14:paraId="54F22258">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）投标文件没有对招标文件的实质性要求和条件作出响应，或者对招标文件的偏差超出招标文件规定的偏差范围或最高项数；</w:t>
      </w:r>
    </w:p>
    <w:p w14:paraId="4003D664">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）有串通投标、弄虚作假、行贿等违法行为。</w:t>
      </w:r>
    </w:p>
    <w:p w14:paraId="12DF721C">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3.1.3 </w:t>
      </w:r>
      <w:r>
        <w:rPr>
          <w:rFonts w:hint="eastAsia" w:ascii="宋体" w:cs="宋体"/>
          <w:color w:val="auto"/>
          <w:kern w:val="0"/>
          <w:szCs w:val="21"/>
          <w:highlight w:val="none"/>
        </w:rPr>
        <w:t>投标报价有算术错误及其他错误的，评标委员会按以下原则要求投标人对投标报价进行修正，并要求投标人书面澄清确认。投标人拒不澄清确认的，评标委员会应当否决其投标：</w:t>
      </w:r>
    </w:p>
    <w:p w14:paraId="7AA46E81">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）投标文件中的大写金额与小写金额不一致的，以大写金额为准；</w:t>
      </w:r>
    </w:p>
    <w:p w14:paraId="5FAA06D9">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）总价金额与单价金额不一致的，以单价金额为准，但单价金额小数点有明显错误的除外。</w:t>
      </w:r>
    </w:p>
    <w:p w14:paraId="4775F0A4">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color w:val="auto"/>
          <w:kern w:val="0"/>
          <w:sz w:val="28"/>
          <w:szCs w:val="28"/>
          <w:highlight w:val="none"/>
        </w:rPr>
        <w:t xml:space="preserve">3.2 </w:t>
      </w:r>
      <w:r>
        <w:rPr>
          <w:rFonts w:hint="eastAsia" w:ascii="黑体" w:eastAsia="黑体" w:cs="黑体"/>
          <w:color w:val="auto"/>
          <w:kern w:val="0"/>
          <w:sz w:val="28"/>
          <w:szCs w:val="28"/>
          <w:highlight w:val="none"/>
        </w:rPr>
        <w:t>详细评审</w:t>
      </w:r>
    </w:p>
    <w:p w14:paraId="2BBD0A60">
      <w:pPr>
        <w:autoSpaceDE w:val="0"/>
        <w:autoSpaceDN w:val="0"/>
        <w:adjustRightInd w:val="0"/>
        <w:spacing w:line="430" w:lineRule="exact"/>
        <w:ind w:firstLine="420" w:firstLineChars="200"/>
        <w:jc w:val="left"/>
        <w:rPr>
          <w:rFonts w:ascii="宋体" w:cs="宋体"/>
          <w:color w:val="auto"/>
          <w:kern w:val="0"/>
          <w:szCs w:val="21"/>
          <w:highlight w:val="none"/>
        </w:rPr>
      </w:pPr>
      <w:r>
        <w:rPr>
          <w:rFonts w:eastAsia="黑体"/>
          <w:color w:val="auto"/>
          <w:kern w:val="0"/>
          <w:szCs w:val="21"/>
          <w:highlight w:val="none"/>
        </w:rPr>
        <w:t xml:space="preserve">3.2.1 </w:t>
      </w:r>
      <w:r>
        <w:rPr>
          <w:rFonts w:hint="eastAsia" w:ascii="宋体" w:cs="宋体"/>
          <w:color w:val="auto"/>
          <w:kern w:val="0"/>
          <w:szCs w:val="21"/>
          <w:highlight w:val="none"/>
        </w:rPr>
        <w:t>评标委员会按本章第</w:t>
      </w:r>
      <w:r>
        <w:rPr>
          <w:color w:val="auto"/>
          <w:kern w:val="0"/>
          <w:szCs w:val="21"/>
          <w:highlight w:val="none"/>
        </w:rPr>
        <w:t>2.2</w:t>
      </w:r>
      <w:r>
        <w:rPr>
          <w:rFonts w:hint="eastAsia" w:ascii="宋体" w:cs="宋体"/>
          <w:color w:val="auto"/>
          <w:kern w:val="0"/>
          <w:szCs w:val="21"/>
          <w:highlight w:val="none"/>
        </w:rPr>
        <w:t>款规定的量化因素和分值进行打分，并计算出综合评估得分。</w:t>
      </w:r>
    </w:p>
    <w:p w14:paraId="442D2DFF">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）按本章第</w:t>
      </w:r>
      <w:r>
        <w:rPr>
          <w:color w:val="auto"/>
          <w:kern w:val="0"/>
          <w:szCs w:val="21"/>
          <w:highlight w:val="none"/>
        </w:rPr>
        <w:t>2.2.4</w:t>
      </w:r>
      <w:r>
        <w:rPr>
          <w:rFonts w:hint="eastAsia" w:ascii="宋体" w:cs="宋体"/>
          <w:color w:val="auto"/>
          <w:kern w:val="0"/>
          <w:szCs w:val="21"/>
          <w:highlight w:val="none"/>
        </w:rPr>
        <w:t>（</w:t>
      </w:r>
      <w:r>
        <w:rPr>
          <w:color w:val="auto"/>
          <w:kern w:val="0"/>
          <w:szCs w:val="21"/>
          <w:highlight w:val="none"/>
        </w:rPr>
        <w:t>1</w:t>
      </w:r>
      <w:r>
        <w:rPr>
          <w:rFonts w:hint="eastAsia" w:ascii="宋体" w:cs="宋体"/>
          <w:color w:val="auto"/>
          <w:kern w:val="0"/>
          <w:szCs w:val="21"/>
          <w:highlight w:val="none"/>
        </w:rPr>
        <w:t>）目规定的评审因素和分值对资信业绩部分计算出得分</w:t>
      </w:r>
      <w:r>
        <w:rPr>
          <w:color w:val="auto"/>
          <w:kern w:val="0"/>
          <w:szCs w:val="21"/>
          <w:highlight w:val="none"/>
        </w:rPr>
        <w:t>A</w:t>
      </w:r>
      <w:r>
        <w:rPr>
          <w:rFonts w:hint="eastAsia" w:ascii="宋体" w:cs="宋体"/>
          <w:color w:val="auto"/>
          <w:kern w:val="0"/>
          <w:szCs w:val="21"/>
          <w:highlight w:val="none"/>
        </w:rPr>
        <w:t>；</w:t>
      </w:r>
    </w:p>
    <w:p w14:paraId="741697B7">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）按本章第</w:t>
      </w:r>
      <w:r>
        <w:rPr>
          <w:color w:val="auto"/>
          <w:kern w:val="0"/>
          <w:szCs w:val="21"/>
          <w:highlight w:val="none"/>
        </w:rPr>
        <w:t>2.2.4</w:t>
      </w:r>
      <w:r>
        <w:rPr>
          <w:rFonts w:hint="eastAsia" w:ascii="宋体" w:cs="宋体"/>
          <w:color w:val="auto"/>
          <w:kern w:val="0"/>
          <w:szCs w:val="21"/>
          <w:highlight w:val="none"/>
        </w:rPr>
        <w:t>（</w:t>
      </w:r>
      <w:r>
        <w:rPr>
          <w:color w:val="auto"/>
          <w:kern w:val="0"/>
          <w:szCs w:val="21"/>
          <w:highlight w:val="none"/>
        </w:rPr>
        <w:t>2</w:t>
      </w:r>
      <w:r>
        <w:rPr>
          <w:rFonts w:hint="eastAsia" w:ascii="宋体" w:cs="宋体"/>
          <w:color w:val="auto"/>
          <w:kern w:val="0"/>
          <w:szCs w:val="21"/>
          <w:highlight w:val="none"/>
        </w:rPr>
        <w:t>）目规定的评审因素和分值对技术部分部分计算出得分</w:t>
      </w:r>
      <w:r>
        <w:rPr>
          <w:color w:val="auto"/>
          <w:kern w:val="0"/>
          <w:szCs w:val="21"/>
          <w:highlight w:val="none"/>
        </w:rPr>
        <w:t>B</w:t>
      </w:r>
      <w:r>
        <w:rPr>
          <w:rFonts w:hint="eastAsia" w:ascii="宋体" w:cs="宋体"/>
          <w:color w:val="auto"/>
          <w:kern w:val="0"/>
          <w:szCs w:val="21"/>
          <w:highlight w:val="none"/>
        </w:rPr>
        <w:t>；</w:t>
      </w:r>
    </w:p>
    <w:p w14:paraId="3D26A5E1">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3</w:t>
      </w:r>
      <w:r>
        <w:rPr>
          <w:rFonts w:hint="eastAsia" w:ascii="宋体" w:cs="宋体"/>
          <w:color w:val="auto"/>
          <w:kern w:val="0"/>
          <w:szCs w:val="21"/>
          <w:highlight w:val="none"/>
        </w:rPr>
        <w:t>）按本章第</w:t>
      </w:r>
      <w:r>
        <w:rPr>
          <w:color w:val="auto"/>
          <w:kern w:val="0"/>
          <w:szCs w:val="21"/>
          <w:highlight w:val="none"/>
        </w:rPr>
        <w:t>2.2.4</w:t>
      </w:r>
      <w:r>
        <w:rPr>
          <w:rFonts w:hint="eastAsia" w:ascii="宋体" w:cs="宋体"/>
          <w:color w:val="auto"/>
          <w:kern w:val="0"/>
          <w:szCs w:val="21"/>
          <w:highlight w:val="none"/>
        </w:rPr>
        <w:t>（</w:t>
      </w:r>
      <w:r>
        <w:rPr>
          <w:color w:val="auto"/>
          <w:kern w:val="0"/>
          <w:szCs w:val="21"/>
          <w:highlight w:val="none"/>
        </w:rPr>
        <w:t>3</w:t>
      </w:r>
      <w:r>
        <w:rPr>
          <w:rFonts w:hint="eastAsia" w:ascii="宋体" w:cs="宋体"/>
          <w:color w:val="auto"/>
          <w:kern w:val="0"/>
          <w:szCs w:val="21"/>
          <w:highlight w:val="none"/>
        </w:rPr>
        <w:t>）目规定的评审因素和分值对投标报价计算出得分</w:t>
      </w:r>
      <w:r>
        <w:rPr>
          <w:color w:val="auto"/>
          <w:kern w:val="0"/>
          <w:szCs w:val="21"/>
          <w:highlight w:val="none"/>
        </w:rPr>
        <w:t>C</w:t>
      </w:r>
      <w:r>
        <w:rPr>
          <w:rFonts w:hint="eastAsia" w:ascii="宋体" w:cs="宋体"/>
          <w:color w:val="auto"/>
          <w:kern w:val="0"/>
          <w:szCs w:val="21"/>
          <w:highlight w:val="none"/>
        </w:rPr>
        <w:t>；</w:t>
      </w:r>
    </w:p>
    <w:p w14:paraId="4C04A4BD">
      <w:pPr>
        <w:autoSpaceDE w:val="0"/>
        <w:autoSpaceDN w:val="0"/>
        <w:adjustRightInd w:val="0"/>
        <w:spacing w:line="43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w:t>
      </w:r>
      <w:r>
        <w:rPr>
          <w:color w:val="auto"/>
          <w:kern w:val="0"/>
          <w:szCs w:val="21"/>
          <w:highlight w:val="none"/>
        </w:rPr>
        <w:t>4</w:t>
      </w:r>
      <w:r>
        <w:rPr>
          <w:rFonts w:hint="eastAsia" w:ascii="宋体" w:cs="宋体"/>
          <w:color w:val="auto"/>
          <w:kern w:val="0"/>
          <w:szCs w:val="21"/>
          <w:highlight w:val="none"/>
        </w:rPr>
        <w:t>）按本章第</w:t>
      </w:r>
      <w:r>
        <w:rPr>
          <w:color w:val="auto"/>
          <w:kern w:val="0"/>
          <w:szCs w:val="21"/>
          <w:highlight w:val="none"/>
        </w:rPr>
        <w:t>2.2.4</w:t>
      </w:r>
      <w:r>
        <w:rPr>
          <w:rFonts w:hint="eastAsia" w:ascii="宋体" w:cs="宋体"/>
          <w:color w:val="auto"/>
          <w:kern w:val="0"/>
          <w:szCs w:val="21"/>
          <w:highlight w:val="none"/>
        </w:rPr>
        <w:t>（</w:t>
      </w:r>
      <w:r>
        <w:rPr>
          <w:color w:val="auto"/>
          <w:kern w:val="0"/>
          <w:szCs w:val="21"/>
          <w:highlight w:val="none"/>
        </w:rPr>
        <w:t>4</w:t>
      </w:r>
      <w:r>
        <w:rPr>
          <w:rFonts w:hint="eastAsia" w:ascii="宋体" w:cs="宋体"/>
          <w:color w:val="auto"/>
          <w:kern w:val="0"/>
          <w:szCs w:val="21"/>
          <w:highlight w:val="none"/>
        </w:rPr>
        <w:t>）目规定的评审因素和分值对其他部分计算出得分</w:t>
      </w:r>
      <w:r>
        <w:rPr>
          <w:color w:val="auto"/>
          <w:kern w:val="0"/>
          <w:szCs w:val="21"/>
          <w:highlight w:val="none"/>
        </w:rPr>
        <w:t>D</w:t>
      </w:r>
      <w:r>
        <w:rPr>
          <w:rFonts w:hint="eastAsia" w:ascii="宋体" w:cs="宋体"/>
          <w:color w:val="auto"/>
          <w:kern w:val="0"/>
          <w:szCs w:val="21"/>
          <w:highlight w:val="none"/>
        </w:rPr>
        <w:t>。</w:t>
      </w:r>
    </w:p>
    <w:p w14:paraId="225D317F">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3.2.2 </w:t>
      </w:r>
      <w:r>
        <w:rPr>
          <w:rFonts w:hint="eastAsia" w:ascii="宋体" w:cs="宋体"/>
          <w:color w:val="auto"/>
          <w:kern w:val="0"/>
          <w:szCs w:val="21"/>
          <w:highlight w:val="none"/>
        </w:rPr>
        <w:t>评分分值计算保留小数点后两位，小数点后第三位</w:t>
      </w:r>
      <w:r>
        <w:rPr>
          <w:color w:val="auto"/>
          <w:kern w:val="0"/>
          <w:szCs w:val="21"/>
          <w:highlight w:val="none"/>
        </w:rPr>
        <w:t>“</w:t>
      </w:r>
      <w:r>
        <w:rPr>
          <w:rFonts w:hint="eastAsia" w:ascii="宋体" w:cs="宋体"/>
          <w:color w:val="auto"/>
          <w:kern w:val="0"/>
          <w:szCs w:val="21"/>
          <w:highlight w:val="none"/>
        </w:rPr>
        <w:t>四舍五入</w:t>
      </w:r>
      <w:r>
        <w:rPr>
          <w:color w:val="auto"/>
          <w:kern w:val="0"/>
          <w:szCs w:val="21"/>
          <w:highlight w:val="none"/>
        </w:rPr>
        <w:t>”</w:t>
      </w:r>
      <w:r>
        <w:rPr>
          <w:rFonts w:hint="eastAsia" w:ascii="宋体" w:cs="宋体"/>
          <w:color w:val="auto"/>
          <w:kern w:val="0"/>
          <w:szCs w:val="21"/>
          <w:highlight w:val="none"/>
        </w:rPr>
        <w:t>。</w:t>
      </w:r>
    </w:p>
    <w:p w14:paraId="20AE0745">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3.2.3 </w:t>
      </w:r>
      <w:r>
        <w:rPr>
          <w:rFonts w:hint="eastAsia" w:ascii="宋体" w:cs="宋体"/>
          <w:color w:val="auto"/>
          <w:kern w:val="0"/>
          <w:szCs w:val="21"/>
          <w:highlight w:val="none"/>
        </w:rPr>
        <w:t>投标人得分</w:t>
      </w:r>
      <w:r>
        <w:rPr>
          <w:color w:val="auto"/>
          <w:kern w:val="0"/>
          <w:szCs w:val="21"/>
          <w:highlight w:val="none"/>
        </w:rPr>
        <w:t>=A+B+C+D</w:t>
      </w:r>
      <w:r>
        <w:rPr>
          <w:rFonts w:hint="eastAsia" w:ascii="宋体" w:cs="宋体"/>
          <w:color w:val="auto"/>
          <w:kern w:val="0"/>
          <w:szCs w:val="21"/>
          <w:highlight w:val="none"/>
        </w:rPr>
        <w:t>。</w:t>
      </w:r>
    </w:p>
    <w:p w14:paraId="709B1754">
      <w:pPr>
        <w:autoSpaceDE w:val="0"/>
        <w:autoSpaceDN w:val="0"/>
        <w:adjustRightInd w:val="0"/>
        <w:spacing w:line="430" w:lineRule="exact"/>
        <w:ind w:firstLine="420" w:firstLineChars="200"/>
        <w:jc w:val="left"/>
        <w:rPr>
          <w:rFonts w:ascii="宋体" w:cs="宋体"/>
          <w:color w:val="auto"/>
          <w:kern w:val="0"/>
          <w:szCs w:val="21"/>
          <w:highlight w:val="none"/>
        </w:rPr>
      </w:pPr>
      <w:r>
        <w:rPr>
          <w:color w:val="auto"/>
          <w:kern w:val="0"/>
          <w:szCs w:val="21"/>
          <w:highlight w:val="none"/>
        </w:rPr>
        <w:t xml:space="preserve">3.2.4 </w:t>
      </w:r>
      <w:r>
        <w:rPr>
          <w:rFonts w:hint="eastAsia" w:ascii="宋体" w:cs="宋体"/>
          <w:color w:val="auto"/>
          <w:kern w:val="0"/>
          <w:szCs w:val="21"/>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3311D20">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color w:val="auto"/>
          <w:kern w:val="0"/>
          <w:sz w:val="28"/>
          <w:szCs w:val="28"/>
          <w:highlight w:val="none"/>
        </w:rPr>
        <w:t xml:space="preserve">3.3 </w:t>
      </w:r>
      <w:r>
        <w:rPr>
          <w:rFonts w:hint="eastAsia" w:ascii="黑体" w:eastAsia="黑体" w:cs="黑体"/>
          <w:color w:val="auto"/>
          <w:kern w:val="0"/>
          <w:sz w:val="28"/>
          <w:szCs w:val="28"/>
          <w:highlight w:val="none"/>
        </w:rPr>
        <w:t>投标文件的澄清</w:t>
      </w:r>
    </w:p>
    <w:p w14:paraId="4A44603E">
      <w:pPr>
        <w:pStyle w:val="125"/>
        <w:spacing w:line="430" w:lineRule="exact"/>
        <w:ind w:firstLine="420" w:firstLineChars="200"/>
        <w:rPr>
          <w:rFonts w:ascii="宋体" w:eastAsia="宋体" w:cs="宋体"/>
          <w:color w:val="auto"/>
          <w:sz w:val="21"/>
          <w:szCs w:val="21"/>
          <w:highlight w:val="none"/>
        </w:rPr>
      </w:pPr>
      <w:r>
        <w:rPr>
          <w:rFonts w:ascii="宋体" w:eastAsia="宋体" w:cs="宋体"/>
          <w:color w:val="auto"/>
          <w:sz w:val="21"/>
          <w:szCs w:val="21"/>
          <w:highlight w:val="none"/>
        </w:rPr>
        <w:t xml:space="preserve">3.3.1 </w:t>
      </w:r>
      <w:r>
        <w:rPr>
          <w:rFonts w:hint="eastAsia" w:ascii="宋体" w:eastAsia="宋体" w:cs="宋体"/>
          <w:color w:val="auto"/>
          <w:sz w:val="21"/>
          <w:szCs w:val="21"/>
          <w:highlight w:val="none"/>
        </w:rPr>
        <w:t>在评标过程中，评标委员会可以书面形式要求投标人对投标文件中含义不明确、对同</w:t>
      </w:r>
    </w:p>
    <w:p w14:paraId="20D4679F">
      <w:pPr>
        <w:autoSpaceDE w:val="0"/>
        <w:autoSpaceDN w:val="0"/>
        <w:adjustRightInd w:val="0"/>
        <w:spacing w:line="430" w:lineRule="exact"/>
        <w:ind w:firstLine="420" w:firstLineChars="200"/>
        <w:jc w:val="left"/>
        <w:rPr>
          <w:rFonts w:ascii="宋体" w:cs="宋体"/>
          <w:color w:val="auto"/>
          <w:kern w:val="0"/>
          <w:szCs w:val="21"/>
          <w:highlight w:val="none"/>
        </w:rPr>
      </w:pPr>
      <w:r>
        <w:rPr>
          <w:rFonts w:ascii="宋体" w:cs="宋体"/>
          <w:color w:val="auto"/>
          <w:kern w:val="0"/>
          <w:szCs w:val="21"/>
          <w:highlight w:val="none"/>
        </w:rPr>
        <w:t>类问题表述不一致或者有明显文字和计算错误的内容作必要的澄清、说明或补正。澄清、说明或补正应以书面方式进行。评标委员会不接受投标人主动提出的澄清、说明或补正。</w:t>
      </w:r>
    </w:p>
    <w:p w14:paraId="32348363">
      <w:pPr>
        <w:autoSpaceDE w:val="0"/>
        <w:autoSpaceDN w:val="0"/>
        <w:adjustRightInd w:val="0"/>
        <w:spacing w:line="430" w:lineRule="exact"/>
        <w:ind w:firstLine="420" w:firstLineChars="200"/>
        <w:jc w:val="left"/>
        <w:rPr>
          <w:rFonts w:ascii="宋体" w:cs="宋体"/>
          <w:color w:val="auto"/>
          <w:kern w:val="0"/>
          <w:szCs w:val="21"/>
          <w:highlight w:val="none"/>
        </w:rPr>
      </w:pPr>
      <w:r>
        <w:rPr>
          <w:rFonts w:ascii="宋体" w:cs="宋体"/>
          <w:color w:val="auto"/>
          <w:kern w:val="0"/>
          <w:szCs w:val="21"/>
          <w:highlight w:val="none"/>
        </w:rPr>
        <w:t xml:space="preserve">3.3.2 </w:t>
      </w:r>
      <w:r>
        <w:rPr>
          <w:rFonts w:hint="eastAsia" w:ascii="宋体" w:cs="宋体"/>
          <w:color w:val="auto"/>
          <w:kern w:val="0"/>
          <w:szCs w:val="21"/>
          <w:highlight w:val="none"/>
        </w:rPr>
        <w:t>澄清、说明或补正不得超出投标文件的范围且不得改变投标文件的实质性内容，并构成投标文件的组成部分。</w:t>
      </w:r>
    </w:p>
    <w:p w14:paraId="16C7AF3B">
      <w:pPr>
        <w:autoSpaceDE w:val="0"/>
        <w:autoSpaceDN w:val="0"/>
        <w:adjustRightInd w:val="0"/>
        <w:spacing w:line="430" w:lineRule="exact"/>
        <w:ind w:firstLine="420" w:firstLineChars="200"/>
        <w:jc w:val="left"/>
        <w:rPr>
          <w:rFonts w:ascii="宋体" w:cs="宋体"/>
          <w:color w:val="auto"/>
          <w:kern w:val="0"/>
          <w:szCs w:val="21"/>
          <w:highlight w:val="none"/>
        </w:rPr>
      </w:pPr>
      <w:r>
        <w:rPr>
          <w:rFonts w:ascii="宋体" w:cs="宋体"/>
          <w:color w:val="auto"/>
          <w:kern w:val="0"/>
          <w:szCs w:val="21"/>
          <w:highlight w:val="none"/>
        </w:rPr>
        <w:t xml:space="preserve">3.3.3 </w:t>
      </w:r>
      <w:r>
        <w:rPr>
          <w:rFonts w:hint="eastAsia" w:ascii="宋体" w:cs="宋体"/>
          <w:color w:val="auto"/>
          <w:kern w:val="0"/>
          <w:szCs w:val="21"/>
          <w:highlight w:val="none"/>
        </w:rPr>
        <w:t>评标委员会对投标人提交的澄清、说明或补正有疑问的，可以要求投标人进一步澄清、说明或补正，直至满足评标委员会的要求。</w:t>
      </w:r>
    </w:p>
    <w:p w14:paraId="5D8181CE">
      <w:pPr>
        <w:autoSpaceDE w:val="0"/>
        <w:autoSpaceDN w:val="0"/>
        <w:adjustRightInd w:val="0"/>
        <w:spacing w:line="430" w:lineRule="exact"/>
        <w:ind w:firstLine="560" w:firstLineChars="200"/>
        <w:jc w:val="left"/>
        <w:rPr>
          <w:rFonts w:ascii="黑体" w:eastAsia="黑体" w:cs="黑体"/>
          <w:color w:val="auto"/>
          <w:kern w:val="0"/>
          <w:sz w:val="28"/>
          <w:szCs w:val="28"/>
          <w:highlight w:val="none"/>
        </w:rPr>
      </w:pPr>
      <w:r>
        <w:rPr>
          <w:color w:val="auto"/>
          <w:kern w:val="0"/>
          <w:sz w:val="28"/>
          <w:szCs w:val="28"/>
          <w:highlight w:val="none"/>
        </w:rPr>
        <w:t xml:space="preserve">3.4 </w:t>
      </w:r>
      <w:r>
        <w:rPr>
          <w:rFonts w:hint="eastAsia" w:ascii="黑体" w:eastAsia="黑体" w:cs="黑体"/>
          <w:color w:val="auto"/>
          <w:kern w:val="0"/>
          <w:sz w:val="28"/>
          <w:szCs w:val="28"/>
          <w:highlight w:val="none"/>
        </w:rPr>
        <w:t>评标结果</w:t>
      </w:r>
    </w:p>
    <w:p w14:paraId="35CFE4EB">
      <w:pPr>
        <w:autoSpaceDE w:val="0"/>
        <w:autoSpaceDN w:val="0"/>
        <w:adjustRightInd w:val="0"/>
        <w:spacing w:line="430" w:lineRule="exact"/>
        <w:ind w:firstLine="420" w:firstLineChars="200"/>
        <w:jc w:val="left"/>
        <w:rPr>
          <w:color w:val="auto"/>
          <w:highlight w:val="none"/>
        </w:rPr>
      </w:pPr>
      <w:r>
        <w:rPr>
          <w:rFonts w:eastAsia="黑体"/>
          <w:color w:val="auto"/>
          <w:kern w:val="0"/>
          <w:szCs w:val="21"/>
          <w:highlight w:val="none"/>
        </w:rPr>
        <w:t xml:space="preserve">3.4.1 </w:t>
      </w:r>
      <w:r>
        <w:rPr>
          <w:rFonts w:hint="eastAsia" w:ascii="宋体" w:cs="宋体"/>
          <w:color w:val="auto"/>
          <w:kern w:val="0"/>
          <w:szCs w:val="21"/>
          <w:highlight w:val="none"/>
        </w:rPr>
        <w:t>评标委员会按照得分由高到低的顺序推荐中标候选人，标明排序，并根据第二章</w:t>
      </w:r>
      <w:r>
        <w:rPr>
          <w:color w:val="auto"/>
          <w:kern w:val="0"/>
          <w:szCs w:val="21"/>
          <w:highlight w:val="none"/>
        </w:rPr>
        <w:t>“</w:t>
      </w:r>
      <w:r>
        <w:rPr>
          <w:rFonts w:hint="eastAsia" w:ascii="宋体" w:cs="宋体"/>
          <w:color w:val="auto"/>
          <w:kern w:val="0"/>
          <w:szCs w:val="21"/>
          <w:highlight w:val="none"/>
        </w:rPr>
        <w:t>投标人须知</w:t>
      </w:r>
      <w:r>
        <w:rPr>
          <w:color w:val="auto"/>
          <w:kern w:val="0"/>
          <w:szCs w:val="21"/>
          <w:highlight w:val="none"/>
        </w:rPr>
        <w:t>”</w:t>
      </w:r>
      <w:r>
        <w:rPr>
          <w:rFonts w:hint="eastAsia" w:ascii="宋体" w:cs="宋体"/>
          <w:color w:val="auto"/>
          <w:kern w:val="0"/>
          <w:szCs w:val="21"/>
          <w:highlight w:val="none"/>
        </w:rPr>
        <w:t>前附表授权直接确定中标人。</w:t>
      </w:r>
    </w:p>
    <w:p w14:paraId="414BDFDC">
      <w:pPr>
        <w:spacing w:line="430" w:lineRule="exact"/>
        <w:ind w:firstLine="420" w:firstLineChars="200"/>
        <w:rPr>
          <w:rFonts w:ascii="宋体" w:cs="宋体"/>
          <w:color w:val="auto"/>
          <w:kern w:val="0"/>
          <w:szCs w:val="21"/>
          <w:highlight w:val="none"/>
        </w:rPr>
      </w:pPr>
      <w:r>
        <w:rPr>
          <w:color w:val="auto"/>
          <w:kern w:val="0"/>
          <w:szCs w:val="21"/>
          <w:highlight w:val="none"/>
        </w:rPr>
        <w:t xml:space="preserve">3.4.2 </w:t>
      </w:r>
      <w:r>
        <w:rPr>
          <w:rFonts w:hint="eastAsia" w:ascii="宋体" w:cs="宋体"/>
          <w:color w:val="auto"/>
          <w:kern w:val="0"/>
          <w:szCs w:val="21"/>
          <w:highlight w:val="none"/>
        </w:rPr>
        <w:t>评标委员会完成评标后，应当向招标人提交书面评标报告和中标候选人名单。</w:t>
      </w:r>
    </w:p>
    <w:p w14:paraId="589E6CFE">
      <w:pPr>
        <w:rPr>
          <w:rFonts w:eastAsia="黑体"/>
          <w:color w:val="auto"/>
          <w:sz w:val="24"/>
          <w:highlight w:val="none"/>
        </w:rPr>
      </w:pPr>
      <w:r>
        <w:rPr>
          <w:rFonts w:eastAsia="黑体"/>
          <w:color w:val="auto"/>
          <w:sz w:val="24"/>
          <w:highlight w:val="none"/>
        </w:rPr>
        <w:br w:type="page"/>
      </w:r>
    </w:p>
    <w:p w14:paraId="2E581B7E">
      <w:pPr>
        <w:spacing w:line="430" w:lineRule="exact"/>
        <w:rPr>
          <w:color w:val="auto"/>
          <w:highlight w:val="none"/>
        </w:rPr>
      </w:pPr>
      <w:r>
        <w:rPr>
          <w:rFonts w:eastAsia="黑体"/>
          <w:color w:val="auto"/>
          <w:sz w:val="24"/>
          <w:highlight w:val="none"/>
        </w:rPr>
        <w:t>附件A</w:t>
      </w:r>
      <w:r>
        <w:rPr>
          <w:rFonts w:hint="eastAsia" w:eastAsia="黑体"/>
          <w:color w:val="auto"/>
          <w:sz w:val="24"/>
          <w:highlight w:val="none"/>
        </w:rPr>
        <w:t>：</w:t>
      </w:r>
      <w:r>
        <w:rPr>
          <w:rFonts w:eastAsia="黑体"/>
          <w:color w:val="auto"/>
          <w:sz w:val="24"/>
          <w:highlight w:val="none"/>
        </w:rPr>
        <w:t>评标详细程序</w:t>
      </w:r>
    </w:p>
    <w:p w14:paraId="456A94E3">
      <w:pPr>
        <w:spacing w:before="168" w:beforeLines="70" w:after="168" w:afterLines="70" w:line="420" w:lineRule="exact"/>
        <w:jc w:val="center"/>
        <w:rPr>
          <w:rFonts w:eastAsia="黑体"/>
          <w:color w:val="auto"/>
          <w:sz w:val="28"/>
          <w:szCs w:val="28"/>
          <w:highlight w:val="none"/>
        </w:rPr>
      </w:pPr>
      <w:r>
        <w:rPr>
          <w:rFonts w:eastAsia="黑体"/>
          <w:color w:val="auto"/>
          <w:sz w:val="28"/>
          <w:szCs w:val="28"/>
          <w:highlight w:val="none"/>
        </w:rPr>
        <w:t>评标详细程序</w:t>
      </w:r>
    </w:p>
    <w:p w14:paraId="22F93F0B">
      <w:pPr>
        <w:spacing w:before="120" w:beforeLines="50" w:after="120" w:afterLines="50" w:line="430" w:lineRule="exact"/>
        <w:rPr>
          <w:b/>
          <w:color w:val="auto"/>
          <w:szCs w:val="21"/>
          <w:highlight w:val="none"/>
        </w:rPr>
      </w:pPr>
      <w:r>
        <w:rPr>
          <w:b/>
          <w:color w:val="auto"/>
          <w:szCs w:val="21"/>
          <w:highlight w:val="none"/>
        </w:rPr>
        <w:t>A0.总  则</w:t>
      </w:r>
    </w:p>
    <w:p w14:paraId="22435DD8">
      <w:pPr>
        <w:spacing w:line="430" w:lineRule="exact"/>
        <w:ind w:firstLine="420" w:firstLineChars="200"/>
        <w:rPr>
          <w:color w:val="auto"/>
          <w:szCs w:val="21"/>
          <w:highlight w:val="none"/>
        </w:rPr>
      </w:pPr>
      <w:r>
        <w:rPr>
          <w:color w:val="auto"/>
          <w:szCs w:val="21"/>
          <w:highlight w:val="none"/>
        </w:rPr>
        <w:t>本附件是本章“评标办法”的组成部分，是对本章第3条所规定的评标程序的进一些细化，评标委员会应当按照本附件所规定的详细程序开展并完成评标工作。</w:t>
      </w:r>
    </w:p>
    <w:p w14:paraId="758260ED">
      <w:pPr>
        <w:spacing w:before="120" w:beforeLines="50" w:after="120" w:afterLines="50" w:line="430" w:lineRule="exact"/>
        <w:rPr>
          <w:b/>
          <w:color w:val="auto"/>
          <w:szCs w:val="21"/>
          <w:highlight w:val="none"/>
        </w:rPr>
      </w:pPr>
      <w:r>
        <w:rPr>
          <w:b/>
          <w:color w:val="auto"/>
          <w:szCs w:val="21"/>
          <w:highlight w:val="none"/>
        </w:rPr>
        <w:t>A1.基本程序</w:t>
      </w:r>
    </w:p>
    <w:p w14:paraId="6E15C20E">
      <w:pPr>
        <w:spacing w:line="430" w:lineRule="exact"/>
        <w:ind w:firstLine="420" w:firstLineChars="200"/>
        <w:rPr>
          <w:color w:val="auto"/>
          <w:szCs w:val="21"/>
          <w:highlight w:val="none"/>
        </w:rPr>
      </w:pPr>
      <w:r>
        <w:rPr>
          <w:color w:val="auto"/>
          <w:szCs w:val="21"/>
          <w:highlight w:val="none"/>
        </w:rPr>
        <w:t>（1）评标准备；</w:t>
      </w:r>
    </w:p>
    <w:p w14:paraId="3FC75EA2">
      <w:pPr>
        <w:spacing w:line="430" w:lineRule="exact"/>
        <w:ind w:firstLine="420" w:firstLineChars="200"/>
        <w:rPr>
          <w:color w:val="auto"/>
          <w:szCs w:val="21"/>
          <w:highlight w:val="none"/>
        </w:rPr>
      </w:pPr>
      <w:r>
        <w:rPr>
          <w:color w:val="auto"/>
          <w:szCs w:val="21"/>
          <w:highlight w:val="none"/>
        </w:rPr>
        <w:t>（2）资格审查、技术标评审；</w:t>
      </w:r>
    </w:p>
    <w:p w14:paraId="41A134B7">
      <w:pPr>
        <w:spacing w:line="430" w:lineRule="exact"/>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）清标（形式评审、响应性评审）</w:t>
      </w:r>
      <w:r>
        <w:rPr>
          <w:rFonts w:hint="eastAsia"/>
          <w:color w:val="auto"/>
          <w:szCs w:val="21"/>
          <w:highlight w:val="none"/>
        </w:rPr>
        <w:t>；</w:t>
      </w:r>
    </w:p>
    <w:p w14:paraId="08D84FC8">
      <w:pPr>
        <w:spacing w:line="430" w:lineRule="exact"/>
        <w:ind w:firstLine="420" w:firstLineChars="200"/>
        <w:rPr>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）汇总评分结果</w:t>
      </w:r>
    </w:p>
    <w:p w14:paraId="1BA8AF04">
      <w:pPr>
        <w:spacing w:line="430" w:lineRule="exact"/>
        <w:ind w:firstLine="420" w:firstLineChars="200"/>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）推荐中标候选人或者直接确定中标人</w:t>
      </w:r>
    </w:p>
    <w:p w14:paraId="6FC69F1D">
      <w:pPr>
        <w:spacing w:line="430" w:lineRule="exact"/>
        <w:ind w:firstLine="420" w:firstLineChars="200"/>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）提交评标报告。</w:t>
      </w:r>
    </w:p>
    <w:p w14:paraId="5983EF76">
      <w:pPr>
        <w:spacing w:before="120" w:beforeLines="50" w:after="120" w:afterLines="50" w:line="430" w:lineRule="exact"/>
        <w:rPr>
          <w:b/>
          <w:color w:val="auto"/>
          <w:szCs w:val="21"/>
          <w:highlight w:val="none"/>
        </w:rPr>
      </w:pPr>
      <w:r>
        <w:rPr>
          <w:b/>
          <w:color w:val="auto"/>
          <w:szCs w:val="21"/>
          <w:highlight w:val="none"/>
        </w:rPr>
        <w:t>A2.评标准备</w:t>
      </w:r>
    </w:p>
    <w:p w14:paraId="2837A40F">
      <w:pPr>
        <w:spacing w:before="120" w:beforeLines="50" w:after="120" w:afterLines="50" w:line="430" w:lineRule="exact"/>
        <w:rPr>
          <w:b/>
          <w:color w:val="auto"/>
          <w:szCs w:val="21"/>
          <w:highlight w:val="none"/>
        </w:rPr>
      </w:pPr>
      <w:r>
        <w:rPr>
          <w:b/>
          <w:color w:val="auto"/>
          <w:szCs w:val="21"/>
          <w:highlight w:val="none"/>
        </w:rPr>
        <w:t>A2.1评标委员会成员签到</w:t>
      </w:r>
    </w:p>
    <w:p w14:paraId="4039D052">
      <w:pPr>
        <w:spacing w:line="430" w:lineRule="exact"/>
        <w:ind w:firstLine="420" w:firstLineChars="200"/>
        <w:rPr>
          <w:color w:val="auto"/>
          <w:szCs w:val="21"/>
          <w:highlight w:val="none"/>
        </w:rPr>
      </w:pPr>
      <w:r>
        <w:rPr>
          <w:color w:val="auto"/>
          <w:szCs w:val="21"/>
          <w:highlight w:val="none"/>
        </w:rPr>
        <w:t>评标委员会成员到达评标现场时在签到表上签到以证明其出席。</w:t>
      </w:r>
    </w:p>
    <w:p w14:paraId="7AF4895C">
      <w:pPr>
        <w:spacing w:before="120" w:beforeLines="50" w:after="120" w:afterLines="50" w:line="430" w:lineRule="exact"/>
        <w:rPr>
          <w:b/>
          <w:color w:val="auto"/>
          <w:szCs w:val="21"/>
          <w:highlight w:val="none"/>
        </w:rPr>
      </w:pPr>
      <w:r>
        <w:rPr>
          <w:b/>
          <w:color w:val="auto"/>
          <w:szCs w:val="21"/>
          <w:highlight w:val="none"/>
        </w:rPr>
        <w:t>A2.2评标委员会的分工</w:t>
      </w:r>
    </w:p>
    <w:p w14:paraId="4ECD896F">
      <w:pPr>
        <w:spacing w:line="430" w:lineRule="exact"/>
        <w:ind w:firstLine="420" w:firstLineChars="200"/>
        <w:rPr>
          <w:color w:val="auto"/>
          <w:szCs w:val="21"/>
          <w:highlight w:val="none"/>
        </w:rPr>
      </w:pPr>
      <w:r>
        <w:rPr>
          <w:color w:val="auto"/>
          <w:szCs w:val="21"/>
          <w:highlight w:val="none"/>
        </w:rPr>
        <w:t>评标委员会首先推选一名评标委员会主任，招标人也可以直接指定专业技术能力较强的评委为评标委员会主任。评标委员会主任负责评标活动的组织领导工作。评标委员会主任在与其他评标委员会成员商议的基础上可以将评标委员会划分为技术组和商务组。</w:t>
      </w:r>
    </w:p>
    <w:p w14:paraId="166848CC">
      <w:pPr>
        <w:spacing w:before="120" w:beforeLines="50" w:after="120" w:afterLines="50" w:line="430" w:lineRule="exact"/>
        <w:rPr>
          <w:b/>
          <w:color w:val="auto"/>
          <w:szCs w:val="21"/>
          <w:highlight w:val="none"/>
        </w:rPr>
      </w:pPr>
      <w:r>
        <w:rPr>
          <w:b/>
          <w:color w:val="auto"/>
          <w:szCs w:val="21"/>
          <w:highlight w:val="none"/>
        </w:rPr>
        <w:t>A2.3熟悉文件资料</w:t>
      </w:r>
    </w:p>
    <w:p w14:paraId="034E4F4B">
      <w:pPr>
        <w:spacing w:line="430" w:lineRule="exact"/>
        <w:ind w:firstLine="420" w:firstLineChars="200"/>
        <w:rPr>
          <w:color w:val="auto"/>
          <w:szCs w:val="21"/>
          <w:highlight w:val="none"/>
        </w:rPr>
      </w:pPr>
      <w:r>
        <w:rPr>
          <w:color w:val="auto"/>
          <w:highlight w:val="none"/>
        </w:rPr>
        <w:t>A2.3.1</w:t>
      </w:r>
      <w:r>
        <w:rPr>
          <w:color w:val="auto"/>
          <w:szCs w:val="21"/>
          <w:highlight w:val="none"/>
        </w:rPr>
        <w:t>评标委员会主任应组织评标委员会成员认真研究招标文件，了解和熟悉招标目的、</w:t>
      </w:r>
      <w:r>
        <w:rPr>
          <w:rFonts w:hint="eastAsia"/>
          <w:color w:val="auto"/>
          <w:szCs w:val="21"/>
          <w:highlight w:val="none"/>
          <w:lang w:eastAsia="zh-CN"/>
        </w:rPr>
        <w:t>采购内容及范围</w:t>
      </w:r>
      <w:r>
        <w:rPr>
          <w:color w:val="auto"/>
          <w:szCs w:val="21"/>
          <w:highlight w:val="none"/>
        </w:rPr>
        <w:t>、主要合同条件、技术标准和要求、质量标准和</w:t>
      </w:r>
      <w:r>
        <w:rPr>
          <w:rFonts w:hint="eastAsia"/>
          <w:color w:val="auto"/>
          <w:szCs w:val="21"/>
          <w:highlight w:val="none"/>
          <w:lang w:eastAsia="zh-CN"/>
        </w:rPr>
        <w:t>供货时间/服务期限</w:t>
      </w:r>
      <w:r>
        <w:rPr>
          <w:color w:val="auto"/>
          <w:szCs w:val="21"/>
          <w:highlight w:val="none"/>
        </w:rPr>
        <w:t>要求，掌握评标标准和方法，熟悉本章及附件中包括的评标表格的使用，如果本章及招标人提供的表格不能满足评标所需时，评标委员会应补充编制评标所需的表格，尤其是用于详细分析计算的表格。未在招标文件中规定的标准和方法不得作为评标的依据。</w:t>
      </w:r>
    </w:p>
    <w:p w14:paraId="6A89C759">
      <w:pPr>
        <w:spacing w:line="430" w:lineRule="exact"/>
        <w:ind w:firstLine="420" w:firstLineChars="200"/>
        <w:rPr>
          <w:color w:val="auto"/>
          <w:highlight w:val="none"/>
        </w:rPr>
      </w:pPr>
      <w:r>
        <w:rPr>
          <w:color w:val="auto"/>
          <w:highlight w:val="none"/>
        </w:rPr>
        <w:t>A2.3.2招标人或招标代理机构应向评标委员会提供评标所需的信息和数据，包括招标文件、未在开标会上当场拒绝的各投标文件、开标会记录、资格预审文件及各投标人在资格预审阶段递交的资格预审申请文件</w:t>
      </w:r>
      <w:r>
        <w:rPr>
          <w:rFonts w:hint="eastAsia"/>
          <w:color w:val="auto"/>
          <w:highlight w:val="none"/>
        </w:rPr>
        <w:t>（</w:t>
      </w:r>
      <w:r>
        <w:rPr>
          <w:color w:val="auto"/>
          <w:highlight w:val="none"/>
        </w:rPr>
        <w:t>适用于已进行资格预审的</w:t>
      </w:r>
      <w:r>
        <w:rPr>
          <w:rFonts w:hint="eastAsia"/>
          <w:color w:val="auto"/>
          <w:highlight w:val="none"/>
        </w:rPr>
        <w:t>）</w:t>
      </w:r>
      <w:r>
        <w:rPr>
          <w:color w:val="auto"/>
          <w:highlight w:val="none"/>
        </w:rPr>
        <w:t>、标底</w:t>
      </w:r>
      <w:r>
        <w:rPr>
          <w:rFonts w:hint="eastAsia"/>
          <w:color w:val="auto"/>
          <w:highlight w:val="none"/>
        </w:rPr>
        <w:t>（</w:t>
      </w:r>
      <w:r>
        <w:rPr>
          <w:color w:val="auto"/>
          <w:highlight w:val="none"/>
        </w:rPr>
        <w:t>如有</w:t>
      </w:r>
      <w:r>
        <w:rPr>
          <w:rFonts w:hint="eastAsia"/>
          <w:color w:val="auto"/>
          <w:highlight w:val="none"/>
        </w:rPr>
        <w:t>）</w:t>
      </w:r>
      <w:r>
        <w:rPr>
          <w:color w:val="auto"/>
          <w:highlight w:val="none"/>
        </w:rPr>
        <w:t>、有关的法律、法规、规章、国家标准以及招标人或评标委员会认为必要的其他信息和数据。</w:t>
      </w:r>
    </w:p>
    <w:p w14:paraId="1066F287">
      <w:pPr>
        <w:spacing w:before="120" w:beforeLines="50" w:after="120" w:afterLines="50" w:line="430" w:lineRule="exact"/>
        <w:rPr>
          <w:b/>
          <w:color w:val="auto"/>
          <w:szCs w:val="21"/>
          <w:highlight w:val="none"/>
        </w:rPr>
      </w:pPr>
      <w:r>
        <w:rPr>
          <w:b/>
          <w:color w:val="auto"/>
          <w:szCs w:val="21"/>
          <w:highlight w:val="none"/>
        </w:rPr>
        <w:t>A3.1资格评审、响应性评审</w:t>
      </w:r>
    </w:p>
    <w:p w14:paraId="0B807E39">
      <w:pPr>
        <w:spacing w:line="430" w:lineRule="exact"/>
        <w:ind w:firstLine="420" w:firstLineChars="200"/>
        <w:rPr>
          <w:color w:val="auto"/>
          <w:highlight w:val="none"/>
        </w:rPr>
      </w:pPr>
      <w:r>
        <w:rPr>
          <w:color w:val="auto"/>
          <w:highlight w:val="none"/>
        </w:rPr>
        <w:t>A3.1.1评标委员会根据评标办法前附表中规定的评审因素和评审标准，对投标人的投标文件进行资格评审，并记录评审结果。</w:t>
      </w:r>
    </w:p>
    <w:p w14:paraId="40792F21">
      <w:pPr>
        <w:spacing w:line="430" w:lineRule="exact"/>
        <w:ind w:firstLine="420" w:firstLineChars="200"/>
        <w:rPr>
          <w:color w:val="auto"/>
          <w:highlight w:val="none"/>
        </w:rPr>
      </w:pPr>
      <w:r>
        <w:rPr>
          <w:color w:val="auto"/>
          <w:highlight w:val="none"/>
        </w:rPr>
        <w:t>A3.1.</w:t>
      </w:r>
      <w:r>
        <w:rPr>
          <w:rFonts w:hint="eastAsia"/>
          <w:color w:val="auto"/>
          <w:highlight w:val="none"/>
        </w:rPr>
        <w:t>2</w:t>
      </w:r>
      <w:r>
        <w:rPr>
          <w:color w:val="auto"/>
          <w:highlight w:val="none"/>
        </w:rPr>
        <w:t xml:space="preserve"> 企业投标过程中弄虚作假、围标串标的，按</w:t>
      </w:r>
      <w:r>
        <w:rPr>
          <w:rFonts w:hint="eastAsia"/>
          <w:color w:val="auto"/>
          <w:highlight w:val="none"/>
        </w:rPr>
        <w:t>否决投标</w:t>
      </w:r>
      <w:r>
        <w:rPr>
          <w:color w:val="auto"/>
          <w:highlight w:val="none"/>
        </w:rPr>
        <w:t>处理。已中标的中标无效，企业所缴纳的投标保证金不予退还，并进行处理。</w:t>
      </w:r>
    </w:p>
    <w:p w14:paraId="77812F31">
      <w:pPr>
        <w:spacing w:line="430" w:lineRule="exact"/>
        <w:ind w:firstLine="420" w:firstLineChars="200"/>
        <w:rPr>
          <w:color w:val="auto"/>
          <w:highlight w:val="none"/>
        </w:rPr>
      </w:pPr>
      <w:r>
        <w:rPr>
          <w:color w:val="auto"/>
          <w:highlight w:val="none"/>
        </w:rPr>
        <w:t>A3.1.</w:t>
      </w:r>
      <w:r>
        <w:rPr>
          <w:rFonts w:hint="eastAsia"/>
          <w:color w:val="auto"/>
          <w:highlight w:val="none"/>
        </w:rPr>
        <w:t>3</w:t>
      </w:r>
      <w:r>
        <w:rPr>
          <w:color w:val="auto"/>
          <w:highlight w:val="none"/>
        </w:rPr>
        <w:t xml:space="preserve"> 由于投标人弄虚作假、围标串标以及违法违规行为导致工程重新招标的，在重新招标时不得再参加本项目投标。</w:t>
      </w:r>
    </w:p>
    <w:p w14:paraId="5C88EB6E">
      <w:pPr>
        <w:pStyle w:val="43"/>
        <w:rPr>
          <w:rFonts w:hint="default" w:eastAsia="宋体"/>
          <w:lang w:val="en-US" w:eastAsia="zh-CN"/>
        </w:rPr>
      </w:pPr>
      <w:r>
        <w:rPr>
          <w:color w:val="auto"/>
          <w:highlight w:val="none"/>
        </w:rPr>
        <w:t>A3.1.</w:t>
      </w:r>
      <w:r>
        <w:rPr>
          <w:rFonts w:hint="eastAsia"/>
          <w:color w:val="auto"/>
          <w:highlight w:val="none"/>
        </w:rPr>
        <w:t>3</w:t>
      </w:r>
      <w:r>
        <w:rPr>
          <w:color w:val="auto"/>
          <w:highlight w:val="none"/>
        </w:rPr>
        <w:t xml:space="preserve"> </w:t>
      </w:r>
      <w:r>
        <w:rPr>
          <w:rFonts w:hint="eastAsia"/>
          <w:color w:val="auto"/>
          <w:highlight w:val="none"/>
          <w:lang w:val="en-US" w:eastAsia="zh-CN"/>
        </w:rPr>
        <w:t>本项目资格要求中提供</w:t>
      </w:r>
      <w:r>
        <w:rPr>
          <w:rFonts w:hint="eastAsia"/>
        </w:rPr>
        <w:t>货物有效期内的检验报告或合格证书，</w:t>
      </w:r>
      <w:r>
        <w:rPr>
          <w:rFonts w:hint="eastAsia"/>
          <w:lang w:val="en-US" w:eastAsia="zh-CN"/>
        </w:rPr>
        <w:t>为后期供货时提供，评标过程提供与否都不以此作为废标条件。</w:t>
      </w:r>
    </w:p>
    <w:p w14:paraId="68DA080D">
      <w:pPr>
        <w:adjustRightInd w:val="0"/>
        <w:snapToGrid w:val="0"/>
        <w:spacing w:before="120" w:beforeLines="50" w:after="120" w:afterLines="50" w:line="430" w:lineRule="exact"/>
        <w:rPr>
          <w:b/>
          <w:color w:val="auto"/>
          <w:szCs w:val="21"/>
          <w:highlight w:val="none"/>
        </w:rPr>
      </w:pPr>
      <w:r>
        <w:rPr>
          <w:rFonts w:eastAsia="黑体"/>
          <w:b/>
          <w:color w:val="auto"/>
          <w:szCs w:val="21"/>
          <w:highlight w:val="none"/>
        </w:rPr>
        <w:t>A3．2</w:t>
      </w:r>
      <w:r>
        <w:rPr>
          <w:b/>
          <w:color w:val="auto"/>
          <w:szCs w:val="21"/>
          <w:highlight w:val="none"/>
        </w:rPr>
        <w:t>项目管理机构和企业业绩评审</w:t>
      </w:r>
    </w:p>
    <w:p w14:paraId="0ED49E2F">
      <w:pPr>
        <w:spacing w:line="430" w:lineRule="exact"/>
        <w:ind w:firstLine="420" w:firstLineChars="200"/>
        <w:rPr>
          <w:color w:val="auto"/>
          <w:highlight w:val="none"/>
        </w:rPr>
      </w:pPr>
      <w:r>
        <w:rPr>
          <w:color w:val="auto"/>
          <w:highlight w:val="none"/>
        </w:rPr>
        <w:t>A3.2.1评委按照评标办法前附表中规定的分值设定、各项评分因素、评分标准，对项目管理机构和企业业绩等进行评审。</w:t>
      </w:r>
    </w:p>
    <w:p w14:paraId="03E47C43">
      <w:pPr>
        <w:spacing w:line="430" w:lineRule="exact"/>
        <w:ind w:firstLine="420" w:firstLineChars="200"/>
        <w:rPr>
          <w:color w:val="auto"/>
          <w:highlight w:val="none"/>
        </w:rPr>
      </w:pPr>
      <w:r>
        <w:rPr>
          <w:color w:val="auto"/>
          <w:highlight w:val="none"/>
        </w:rPr>
        <w:t>A3.2.2 对于外省企业在我省投标的，对投标企业提供的项目负责人岗位证书，招标人或招标代理机构将对其真实性予以确认，对证件有异议的，将向投标企业所在地的省住房和城乡建设主管部门进行核实。</w:t>
      </w:r>
    </w:p>
    <w:p w14:paraId="493D8613">
      <w:pPr>
        <w:adjustRightInd w:val="0"/>
        <w:snapToGrid w:val="0"/>
        <w:spacing w:before="120" w:beforeLines="50" w:after="120" w:afterLines="50" w:line="430" w:lineRule="exact"/>
        <w:rPr>
          <w:b/>
          <w:color w:val="auto"/>
          <w:szCs w:val="21"/>
          <w:highlight w:val="none"/>
        </w:rPr>
      </w:pPr>
      <w:r>
        <w:rPr>
          <w:b/>
          <w:color w:val="auto"/>
          <w:szCs w:val="21"/>
          <w:highlight w:val="none"/>
        </w:rPr>
        <w:t>A3．3技术标评审</w:t>
      </w:r>
    </w:p>
    <w:p w14:paraId="7F1F5A77">
      <w:pPr>
        <w:spacing w:line="430" w:lineRule="exact"/>
        <w:ind w:firstLine="420" w:firstLineChars="200"/>
        <w:rPr>
          <w:color w:val="auto"/>
          <w:highlight w:val="none"/>
        </w:rPr>
      </w:pPr>
      <w:r>
        <w:rPr>
          <w:color w:val="auto"/>
          <w:highlight w:val="none"/>
        </w:rPr>
        <w:t>评委按照评标办法前附表中规定的评审要点对</w:t>
      </w:r>
      <w:r>
        <w:rPr>
          <w:rFonts w:hint="eastAsia"/>
          <w:color w:val="auto"/>
          <w:highlight w:val="none"/>
        </w:rPr>
        <w:t>技术部分</w:t>
      </w:r>
      <w:r>
        <w:rPr>
          <w:color w:val="auto"/>
          <w:highlight w:val="none"/>
        </w:rPr>
        <w:t>进行评审，并记录对</w:t>
      </w:r>
      <w:r>
        <w:rPr>
          <w:rFonts w:hint="eastAsia"/>
          <w:color w:val="auto"/>
          <w:highlight w:val="none"/>
        </w:rPr>
        <w:t>技术部分</w:t>
      </w:r>
      <w:r>
        <w:rPr>
          <w:color w:val="auto"/>
          <w:highlight w:val="none"/>
        </w:rPr>
        <w:t>的评审结果。技术标评审结束，汇总资格审查、技术标评审结果，并封存与评标有关的所有资料。</w:t>
      </w:r>
    </w:p>
    <w:p w14:paraId="22B3FBD2">
      <w:pPr>
        <w:adjustRightInd w:val="0"/>
        <w:snapToGrid w:val="0"/>
        <w:spacing w:before="120" w:beforeLines="50" w:after="120" w:afterLines="50" w:line="430" w:lineRule="exact"/>
        <w:rPr>
          <w:b/>
          <w:color w:val="auto"/>
          <w:szCs w:val="21"/>
          <w:highlight w:val="none"/>
        </w:rPr>
      </w:pPr>
      <w:r>
        <w:rPr>
          <w:b/>
          <w:color w:val="auto"/>
          <w:szCs w:val="21"/>
          <w:highlight w:val="none"/>
        </w:rPr>
        <w:t>A4.经济标</w:t>
      </w:r>
      <w:r>
        <w:rPr>
          <w:rFonts w:hint="eastAsia"/>
          <w:b/>
          <w:color w:val="auto"/>
          <w:szCs w:val="21"/>
          <w:highlight w:val="none"/>
        </w:rPr>
        <w:t>评审</w:t>
      </w:r>
    </w:p>
    <w:p w14:paraId="4FA0256A">
      <w:pPr>
        <w:adjustRightInd w:val="0"/>
        <w:snapToGrid w:val="0"/>
        <w:spacing w:before="120" w:beforeLines="50" w:after="120" w:afterLines="50" w:line="430" w:lineRule="exact"/>
        <w:rPr>
          <w:b/>
          <w:color w:val="auto"/>
          <w:szCs w:val="21"/>
          <w:highlight w:val="none"/>
        </w:rPr>
      </w:pPr>
      <w:r>
        <w:rPr>
          <w:b/>
          <w:color w:val="auto"/>
          <w:szCs w:val="21"/>
          <w:highlight w:val="none"/>
        </w:rPr>
        <w:t>A4.1对投标文件进行基础性数据分析和整理工作</w:t>
      </w:r>
      <w:r>
        <w:rPr>
          <w:rFonts w:hint="eastAsia"/>
          <w:b/>
          <w:color w:val="auto"/>
          <w:szCs w:val="21"/>
          <w:highlight w:val="none"/>
        </w:rPr>
        <w:t>（</w:t>
      </w:r>
      <w:r>
        <w:rPr>
          <w:b/>
          <w:color w:val="auto"/>
          <w:szCs w:val="21"/>
          <w:highlight w:val="none"/>
        </w:rPr>
        <w:t>清标</w:t>
      </w:r>
      <w:r>
        <w:rPr>
          <w:rFonts w:hint="eastAsia"/>
          <w:b/>
          <w:color w:val="auto"/>
          <w:szCs w:val="21"/>
          <w:highlight w:val="none"/>
        </w:rPr>
        <w:t>）</w:t>
      </w:r>
    </w:p>
    <w:p w14:paraId="3C376210">
      <w:pPr>
        <w:spacing w:line="430" w:lineRule="exact"/>
        <w:ind w:firstLine="420" w:firstLineChars="200"/>
        <w:rPr>
          <w:color w:val="auto"/>
          <w:highlight w:val="none"/>
        </w:rPr>
      </w:pPr>
      <w:r>
        <w:rPr>
          <w:color w:val="auto"/>
          <w:highlight w:val="none"/>
        </w:rPr>
        <w:t>A4.1.1在不改变投标文件实质性内容的前提下，评标委员会应当对投标文件进行基础性数据分析和整理</w:t>
      </w:r>
      <w:r>
        <w:rPr>
          <w:rFonts w:hint="eastAsia"/>
          <w:color w:val="auto"/>
          <w:highlight w:val="none"/>
        </w:rPr>
        <w:t>（</w:t>
      </w:r>
      <w:r>
        <w:rPr>
          <w:color w:val="auto"/>
          <w:highlight w:val="none"/>
        </w:rPr>
        <w:t>本章中简称为“清标”)，从而发现并提取其中可能存在的对</w:t>
      </w:r>
      <w:r>
        <w:rPr>
          <w:rFonts w:hint="eastAsia"/>
          <w:color w:val="auto"/>
          <w:highlight w:val="none"/>
          <w:lang w:eastAsia="zh-CN"/>
        </w:rPr>
        <w:t>采购内容及范围</w:t>
      </w:r>
      <w:r>
        <w:rPr>
          <w:color w:val="auto"/>
          <w:highlight w:val="none"/>
        </w:rPr>
        <w:t>理解的偏差、投标报价的算术性错误、瑕疵、细小偏差、以及错漏项、投标报价构成不合理、不平衡报价等存在明显异常的问题，并就这些问题整理形成清标成果。评标委员会对清标成果审议后，如果存在需要投标人进行书面澄清、说明或补正的问题，则形成质疑问卷，向投标人发出问题澄清通知</w:t>
      </w:r>
      <w:r>
        <w:rPr>
          <w:rFonts w:hint="eastAsia"/>
          <w:color w:val="auto"/>
          <w:highlight w:val="none"/>
        </w:rPr>
        <w:t>（</w:t>
      </w:r>
      <w:r>
        <w:rPr>
          <w:color w:val="auto"/>
          <w:highlight w:val="none"/>
        </w:rPr>
        <w:t>包括质疑问卷</w:t>
      </w:r>
      <w:r>
        <w:rPr>
          <w:rFonts w:hint="eastAsia"/>
          <w:color w:val="auto"/>
          <w:highlight w:val="none"/>
        </w:rPr>
        <w:t>）</w:t>
      </w:r>
      <w:r>
        <w:rPr>
          <w:color w:val="auto"/>
          <w:highlight w:val="none"/>
        </w:rPr>
        <w:t>。</w:t>
      </w:r>
    </w:p>
    <w:p w14:paraId="44C27955">
      <w:pPr>
        <w:spacing w:line="430" w:lineRule="exact"/>
        <w:ind w:firstLine="420" w:firstLineChars="200"/>
        <w:rPr>
          <w:color w:val="auto"/>
          <w:highlight w:val="none"/>
        </w:rPr>
      </w:pPr>
      <w:r>
        <w:rPr>
          <w:color w:val="auto"/>
          <w:highlight w:val="none"/>
        </w:rPr>
        <w:t>A4.1.2算术错误修正</w:t>
      </w:r>
    </w:p>
    <w:p w14:paraId="1C6833C3">
      <w:pPr>
        <w:spacing w:line="430" w:lineRule="exact"/>
        <w:ind w:firstLine="420" w:firstLineChars="200"/>
        <w:rPr>
          <w:color w:val="auto"/>
          <w:highlight w:val="none"/>
        </w:rPr>
      </w:pPr>
      <w:r>
        <w:rPr>
          <w:color w:val="auto"/>
          <w:highlight w:val="none"/>
        </w:rPr>
        <w:t>投标报价有算术错误的，评标委员会按以下顺序及原则对投标报价进行修正，修正后的价格经投标人书面确认后为投标人的最终报价，对招投标各方均具有约束力。投标人不接受修正价格的，其投标作</w:t>
      </w:r>
      <w:r>
        <w:rPr>
          <w:rFonts w:hint="eastAsia"/>
          <w:color w:val="auto"/>
          <w:highlight w:val="none"/>
        </w:rPr>
        <w:t>否决投标</w:t>
      </w:r>
      <w:r>
        <w:rPr>
          <w:color w:val="auto"/>
          <w:highlight w:val="none"/>
        </w:rPr>
        <w:t>处理。</w:t>
      </w:r>
    </w:p>
    <w:p w14:paraId="79B04433">
      <w:pPr>
        <w:spacing w:line="430" w:lineRule="exact"/>
        <w:ind w:firstLine="420" w:firstLineChars="200"/>
        <w:rPr>
          <w:color w:val="auto"/>
          <w:highlight w:val="none"/>
        </w:rPr>
      </w:pPr>
      <w:r>
        <w:rPr>
          <w:color w:val="auto"/>
          <w:highlight w:val="none"/>
        </w:rPr>
        <w:t>（1）投标文件正本与副本投标金额不一致的，以正本为准；</w:t>
      </w:r>
    </w:p>
    <w:p w14:paraId="01D4FA4C">
      <w:pPr>
        <w:spacing w:line="430" w:lineRule="exact"/>
        <w:ind w:left="945" w:leftChars="200" w:hanging="525" w:hangingChars="250"/>
        <w:rPr>
          <w:color w:val="auto"/>
          <w:highlight w:val="none"/>
        </w:rPr>
      </w:pPr>
      <w:r>
        <w:rPr>
          <w:color w:val="auto"/>
          <w:highlight w:val="none"/>
        </w:rPr>
        <w:t>（2）总价金额与依据单价计算出的结果不一致的，以单价金额为准修正总价，但单价金额小数点有明显错误的除外；</w:t>
      </w:r>
    </w:p>
    <w:p w14:paraId="33423E45">
      <w:pPr>
        <w:spacing w:line="430" w:lineRule="exact"/>
        <w:ind w:left="945" w:leftChars="200" w:hanging="525" w:hangingChars="250"/>
        <w:rPr>
          <w:color w:val="auto"/>
          <w:highlight w:val="none"/>
        </w:rPr>
      </w:pPr>
      <w:r>
        <w:rPr>
          <w:color w:val="auto"/>
          <w:highlight w:val="none"/>
        </w:rPr>
        <w:t>（3）投标报价文件中的总价金额与投标函中的总价金额不一致的，以投标函为准，但以单价金额为准核定总价后的总价金额与投标报价文件中的总价金额相符的除外；</w:t>
      </w:r>
    </w:p>
    <w:p w14:paraId="6D602D58">
      <w:pPr>
        <w:spacing w:line="430" w:lineRule="exact"/>
        <w:ind w:left="945" w:leftChars="200" w:hanging="525" w:hangingChars="250"/>
        <w:rPr>
          <w:color w:val="auto"/>
          <w:highlight w:val="none"/>
        </w:rPr>
      </w:pPr>
      <w:r>
        <w:rPr>
          <w:color w:val="auto"/>
          <w:highlight w:val="none"/>
        </w:rPr>
        <w:t>（4）投标文件中的大写金额与小写金额不一致的，以大写金额为准，但以单价金额为准核定总价后的总价金额与投标文件中的小写总价金额相符的除外。</w:t>
      </w:r>
    </w:p>
    <w:p w14:paraId="59C41949">
      <w:pPr>
        <w:adjustRightInd w:val="0"/>
        <w:snapToGrid w:val="0"/>
        <w:spacing w:line="430" w:lineRule="exact"/>
        <w:ind w:firstLine="420" w:firstLineChars="200"/>
        <w:rPr>
          <w:color w:val="auto"/>
          <w:szCs w:val="21"/>
          <w:highlight w:val="none"/>
        </w:rPr>
      </w:pPr>
      <w:r>
        <w:rPr>
          <w:rFonts w:eastAsia="黑体"/>
          <w:color w:val="auto"/>
          <w:szCs w:val="21"/>
          <w:highlight w:val="none"/>
        </w:rPr>
        <w:t>A4.1.3</w:t>
      </w:r>
      <w:r>
        <w:rPr>
          <w:color w:val="auto"/>
          <w:szCs w:val="21"/>
          <w:highlight w:val="none"/>
        </w:rPr>
        <w:t>判断投标报价是否低于成本</w:t>
      </w:r>
    </w:p>
    <w:p w14:paraId="1E2E55BE">
      <w:pPr>
        <w:adjustRightInd w:val="0"/>
        <w:snapToGrid w:val="0"/>
        <w:spacing w:line="430" w:lineRule="exact"/>
        <w:ind w:firstLine="420" w:firstLineChars="200"/>
        <w:rPr>
          <w:color w:val="auto"/>
          <w:szCs w:val="21"/>
          <w:highlight w:val="none"/>
        </w:rPr>
      </w:pPr>
      <w:r>
        <w:rPr>
          <w:color w:val="auto"/>
          <w:highlight w:val="none"/>
        </w:rPr>
        <w:t>评标委员会发现投标人的报价明显低于其他投标报价，或者在设有标底时明显低于标底，使得其投标报价可能低于其个别成本的，将被视为不合理低报价。</w:t>
      </w:r>
    </w:p>
    <w:p w14:paraId="3D01B460">
      <w:pPr>
        <w:spacing w:line="430" w:lineRule="exact"/>
        <w:ind w:left="945" w:leftChars="200" w:hanging="525" w:hangingChars="250"/>
        <w:rPr>
          <w:color w:val="auto"/>
          <w:highlight w:val="none"/>
        </w:rPr>
      </w:pPr>
      <w:r>
        <w:rPr>
          <w:color w:val="auto"/>
          <w:highlight w:val="none"/>
        </w:rPr>
        <w:t>（1）对不合理低报价的认定，以评标委员会全体评委表决为准，如果经评标委员会成员审核后，有三分之二及以上的评标委员会成员均认定投标人的投标报价为不合理低报价的，其投标文件按</w:t>
      </w:r>
      <w:r>
        <w:rPr>
          <w:rFonts w:hint="eastAsia"/>
          <w:color w:val="auto"/>
          <w:highlight w:val="none"/>
        </w:rPr>
        <w:t>否决投标</w:t>
      </w:r>
      <w:r>
        <w:rPr>
          <w:color w:val="auto"/>
          <w:highlight w:val="none"/>
        </w:rPr>
        <w:t>处理；</w:t>
      </w:r>
    </w:p>
    <w:p w14:paraId="1A22CCCF">
      <w:pPr>
        <w:spacing w:line="430" w:lineRule="exact"/>
        <w:ind w:left="945" w:leftChars="200" w:hanging="525" w:hangingChars="250"/>
        <w:rPr>
          <w:color w:val="auto"/>
          <w:highlight w:val="none"/>
        </w:rPr>
      </w:pPr>
      <w:r>
        <w:rPr>
          <w:color w:val="auto"/>
          <w:highlight w:val="none"/>
        </w:rPr>
        <w:t>（2）如评标委员会发现投标人的投标报价可能低于其个别成本的，可要求该投标人作出书面说明并提供相应的证明材料。投标人不能合理说明或者不能提供相应证明材料的，由评标委员会认定该投标人以低于成本报价竞标，其投标作</w:t>
      </w:r>
      <w:r>
        <w:rPr>
          <w:rFonts w:hint="eastAsia"/>
          <w:b/>
          <w:color w:val="auto"/>
          <w:highlight w:val="none"/>
        </w:rPr>
        <w:t>否决投标</w:t>
      </w:r>
      <w:r>
        <w:rPr>
          <w:color w:val="auto"/>
          <w:highlight w:val="none"/>
        </w:rPr>
        <w:t>处理。</w:t>
      </w:r>
    </w:p>
    <w:p w14:paraId="72D8C654">
      <w:pPr>
        <w:spacing w:line="430" w:lineRule="exact"/>
        <w:ind w:firstLine="420" w:firstLineChars="200"/>
        <w:rPr>
          <w:color w:val="auto"/>
          <w:highlight w:val="none"/>
        </w:rPr>
      </w:pPr>
      <w:r>
        <w:rPr>
          <w:color w:val="auto"/>
          <w:highlight w:val="none"/>
        </w:rPr>
        <w:t>A4.1.</w:t>
      </w:r>
      <w:r>
        <w:rPr>
          <w:rFonts w:hint="eastAsia"/>
          <w:color w:val="auto"/>
          <w:highlight w:val="none"/>
        </w:rPr>
        <w:t>4</w:t>
      </w:r>
      <w:r>
        <w:rPr>
          <w:color w:val="auto"/>
          <w:highlight w:val="none"/>
        </w:rPr>
        <w:t>投标人接到评标委员会发出的问题澄清通知后，应按评标委员会的要求提供书面澄清资料并按要求进行密封，在规定的时间递交到指定地点。投标人递交的书面澄清资料由评标委员会开启。</w:t>
      </w:r>
    </w:p>
    <w:p w14:paraId="1D9212D9">
      <w:pPr>
        <w:adjustRightInd w:val="0"/>
        <w:snapToGrid w:val="0"/>
        <w:spacing w:before="120" w:beforeLines="50" w:after="120" w:afterLines="50" w:line="430" w:lineRule="exact"/>
        <w:rPr>
          <w:b/>
          <w:color w:val="auto"/>
          <w:szCs w:val="21"/>
          <w:highlight w:val="none"/>
        </w:rPr>
      </w:pPr>
      <w:r>
        <w:rPr>
          <w:b/>
          <w:color w:val="auto"/>
          <w:szCs w:val="21"/>
          <w:highlight w:val="none"/>
        </w:rPr>
        <w:t>A4．2澄清、说明或补正</w:t>
      </w:r>
    </w:p>
    <w:p w14:paraId="6AB162B6">
      <w:pPr>
        <w:spacing w:line="430" w:lineRule="exact"/>
        <w:ind w:firstLine="420" w:firstLineChars="200"/>
        <w:rPr>
          <w:color w:val="auto"/>
          <w:highlight w:val="none"/>
        </w:rPr>
      </w:pPr>
      <w:r>
        <w:rPr>
          <w:color w:val="auto"/>
          <w:highlight w:val="none"/>
        </w:rPr>
        <w:t>A4.2.1在评标过程中，如发现投标文件中有含义不明确的内容、明显文字或者计算错误，评标委员会认为需要投标人作出必要澄清、说明的，将书面要求投标人对所提交投标文件中不明确的内容进行书面澄清或说明，或者对细微偏差进行补正。投标人的澄清、说明或补正应当采用书面形式</w:t>
      </w:r>
      <w:r>
        <w:rPr>
          <w:rFonts w:hint="eastAsia"/>
          <w:color w:val="auto"/>
          <w:highlight w:val="none"/>
        </w:rPr>
        <w:t>，</w:t>
      </w:r>
      <w:r>
        <w:rPr>
          <w:color w:val="auto"/>
          <w:highlight w:val="none"/>
        </w:rPr>
        <w:t>并不得超出投标文件的范围或者改变投标文件的实质性内容。</w:t>
      </w:r>
    </w:p>
    <w:p w14:paraId="32900103">
      <w:pPr>
        <w:spacing w:line="430" w:lineRule="exact"/>
        <w:ind w:firstLine="420" w:firstLineChars="200"/>
        <w:rPr>
          <w:color w:val="auto"/>
          <w:highlight w:val="none"/>
        </w:rPr>
      </w:pPr>
      <w:r>
        <w:rPr>
          <w:color w:val="auto"/>
          <w:highlight w:val="none"/>
        </w:rPr>
        <w:t>A4.2.2投标人的澄清、说明或补正应当采用书面形式</w:t>
      </w:r>
      <w:r>
        <w:rPr>
          <w:rFonts w:hint="eastAsia"/>
          <w:color w:val="auto"/>
          <w:highlight w:val="none"/>
        </w:rPr>
        <w:t>，</w:t>
      </w:r>
      <w:r>
        <w:rPr>
          <w:color w:val="auto"/>
          <w:highlight w:val="none"/>
        </w:rPr>
        <w:t>并不得超出投标文件的范围或者改变投标文件的实质性内容。（算术性错误修正的除外）。投标人的书面澄清、说明和补正属于投标文件的组成部分。</w:t>
      </w:r>
    </w:p>
    <w:p w14:paraId="28461BD2">
      <w:pPr>
        <w:spacing w:line="430" w:lineRule="exact"/>
        <w:ind w:firstLine="420" w:firstLineChars="200"/>
        <w:rPr>
          <w:color w:val="auto"/>
          <w:highlight w:val="none"/>
        </w:rPr>
      </w:pPr>
      <w:r>
        <w:rPr>
          <w:color w:val="auto"/>
          <w:highlight w:val="none"/>
        </w:rPr>
        <w:t>A4.2.3评标委员会对投标人提交的澄清、说明或补正有疑问的，可以要求投标人进一步澄清、说明或补正，直至满足评标委员会的要求。</w:t>
      </w:r>
    </w:p>
    <w:p w14:paraId="40040C2B">
      <w:pPr>
        <w:adjustRightInd w:val="0"/>
        <w:snapToGrid w:val="0"/>
        <w:spacing w:before="120" w:beforeLines="50" w:after="120" w:afterLines="50" w:line="430" w:lineRule="exact"/>
        <w:rPr>
          <w:b/>
          <w:color w:val="auto"/>
          <w:szCs w:val="21"/>
          <w:highlight w:val="none"/>
        </w:rPr>
      </w:pPr>
      <w:r>
        <w:rPr>
          <w:b/>
          <w:color w:val="auto"/>
          <w:szCs w:val="21"/>
          <w:highlight w:val="none"/>
        </w:rPr>
        <w:t>A4.3形式评审</w:t>
      </w:r>
    </w:p>
    <w:p w14:paraId="3A8472E3">
      <w:pPr>
        <w:adjustRightInd w:val="0"/>
        <w:snapToGrid w:val="0"/>
        <w:spacing w:line="430" w:lineRule="exact"/>
        <w:ind w:firstLine="420" w:firstLineChars="200"/>
        <w:rPr>
          <w:color w:val="auto"/>
          <w:szCs w:val="21"/>
          <w:highlight w:val="none"/>
        </w:rPr>
      </w:pPr>
      <w:r>
        <w:rPr>
          <w:color w:val="auto"/>
          <w:szCs w:val="21"/>
          <w:highlight w:val="none"/>
        </w:rPr>
        <w:t>评标委员会根据评标办法前附表中规定的评审因素和评审标准，对投标人的投标文件进行形式评审，并记录评审结果。</w:t>
      </w:r>
    </w:p>
    <w:p w14:paraId="0AC77B58">
      <w:pPr>
        <w:adjustRightInd w:val="0"/>
        <w:snapToGrid w:val="0"/>
        <w:spacing w:before="120" w:beforeLines="50" w:after="120" w:afterLines="50" w:line="430" w:lineRule="exact"/>
        <w:rPr>
          <w:b/>
          <w:color w:val="auto"/>
          <w:szCs w:val="21"/>
          <w:highlight w:val="none"/>
        </w:rPr>
      </w:pPr>
      <w:r>
        <w:rPr>
          <w:b/>
          <w:color w:val="auto"/>
          <w:szCs w:val="21"/>
          <w:highlight w:val="none"/>
        </w:rPr>
        <w:t>A4．4 响应性评审</w:t>
      </w:r>
    </w:p>
    <w:p w14:paraId="58BE190D">
      <w:pPr>
        <w:spacing w:line="430" w:lineRule="exact"/>
        <w:ind w:firstLine="420" w:firstLineChars="200"/>
        <w:rPr>
          <w:color w:val="auto"/>
          <w:highlight w:val="none"/>
        </w:rPr>
      </w:pPr>
      <w:r>
        <w:rPr>
          <w:color w:val="auto"/>
          <w:highlight w:val="none"/>
        </w:rPr>
        <w:t>A4.4.1评标委员会根据评标办法前附表中规定的评审因素和评审标准，对投标人的投标文件进行响应性评审，并记录评审结果。</w:t>
      </w:r>
    </w:p>
    <w:p w14:paraId="51897347">
      <w:pPr>
        <w:spacing w:line="430" w:lineRule="exact"/>
        <w:ind w:firstLine="420" w:firstLineChars="200"/>
        <w:rPr>
          <w:color w:val="auto"/>
          <w:highlight w:val="none"/>
        </w:rPr>
      </w:pPr>
      <w:r>
        <w:rPr>
          <w:color w:val="auto"/>
          <w:highlight w:val="none"/>
        </w:rPr>
        <w:t>A4.4.2投标人的投标报价不得超出按照第二章“投标人须知”前附表载明的最高投标限价，凡投标人的投标报价超出最高投标限价的，该投标人的投标文件不能通过响应性评审。</w:t>
      </w:r>
    </w:p>
    <w:p w14:paraId="32CE4D88">
      <w:pPr>
        <w:adjustRightInd w:val="0"/>
        <w:snapToGrid w:val="0"/>
        <w:spacing w:before="120" w:beforeLines="50" w:after="120" w:afterLines="50" w:line="430" w:lineRule="exact"/>
        <w:rPr>
          <w:b/>
          <w:color w:val="auto"/>
          <w:szCs w:val="21"/>
          <w:highlight w:val="none"/>
        </w:rPr>
      </w:pPr>
      <w:r>
        <w:rPr>
          <w:b/>
          <w:color w:val="auto"/>
          <w:szCs w:val="21"/>
          <w:highlight w:val="none"/>
        </w:rPr>
        <w:t>A4.5  判断投标是否为</w:t>
      </w:r>
      <w:r>
        <w:rPr>
          <w:rFonts w:hint="eastAsia"/>
          <w:b/>
          <w:color w:val="auto"/>
          <w:szCs w:val="21"/>
          <w:highlight w:val="none"/>
        </w:rPr>
        <w:t>否决投标</w:t>
      </w:r>
    </w:p>
    <w:p w14:paraId="117022E4">
      <w:pPr>
        <w:spacing w:line="430" w:lineRule="exact"/>
        <w:ind w:firstLine="420" w:firstLineChars="200"/>
        <w:rPr>
          <w:color w:val="auto"/>
          <w:highlight w:val="none"/>
        </w:rPr>
      </w:pPr>
      <w:r>
        <w:rPr>
          <w:color w:val="auto"/>
          <w:highlight w:val="none"/>
        </w:rPr>
        <w:t>A4.5.1在本章附件B中集中列示。</w:t>
      </w:r>
    </w:p>
    <w:p w14:paraId="2CBB8A16">
      <w:pPr>
        <w:spacing w:line="430" w:lineRule="exact"/>
        <w:ind w:firstLine="420" w:firstLineChars="200"/>
        <w:rPr>
          <w:color w:val="auto"/>
          <w:highlight w:val="none"/>
        </w:rPr>
      </w:pPr>
      <w:r>
        <w:rPr>
          <w:color w:val="auto"/>
          <w:highlight w:val="none"/>
        </w:rPr>
        <w:t>A4.5.2本章附件B集中列示的</w:t>
      </w:r>
      <w:r>
        <w:rPr>
          <w:rFonts w:hint="eastAsia"/>
          <w:color w:val="auto"/>
          <w:highlight w:val="none"/>
        </w:rPr>
        <w:t>否决投标</w:t>
      </w:r>
      <w:r>
        <w:rPr>
          <w:color w:val="auto"/>
          <w:highlight w:val="none"/>
        </w:rPr>
        <w:t>条件不应与第二章“投标人须知”和招标文件正文部分包括的</w:t>
      </w:r>
      <w:r>
        <w:rPr>
          <w:rFonts w:hint="eastAsia"/>
          <w:color w:val="auto"/>
          <w:highlight w:val="none"/>
        </w:rPr>
        <w:t>否决投标</w:t>
      </w:r>
      <w:r>
        <w:rPr>
          <w:color w:val="auto"/>
          <w:highlight w:val="none"/>
        </w:rPr>
        <w:t>条件抵触，如果出现相互矛盾或者遗漏的情况，以第二章“投标人须知”和招标文件正文部分的规定为准。</w:t>
      </w:r>
    </w:p>
    <w:p w14:paraId="00B7220D">
      <w:pPr>
        <w:spacing w:line="430" w:lineRule="exact"/>
        <w:ind w:firstLine="420" w:firstLineChars="200"/>
        <w:rPr>
          <w:color w:val="auto"/>
          <w:highlight w:val="none"/>
        </w:rPr>
      </w:pPr>
      <w:r>
        <w:rPr>
          <w:color w:val="auto"/>
          <w:highlight w:val="none"/>
        </w:rPr>
        <w:t>A4.5.3评标委员会在评标</w:t>
      </w:r>
      <w:r>
        <w:rPr>
          <w:rFonts w:hint="eastAsia"/>
          <w:color w:val="auto"/>
          <w:highlight w:val="none"/>
        </w:rPr>
        <w:t>（</w:t>
      </w:r>
      <w:r>
        <w:rPr>
          <w:color w:val="auto"/>
          <w:highlight w:val="none"/>
        </w:rPr>
        <w:t>包括初步评审和详细评审</w:t>
      </w:r>
      <w:r>
        <w:rPr>
          <w:rFonts w:hint="eastAsia"/>
          <w:color w:val="auto"/>
          <w:highlight w:val="none"/>
        </w:rPr>
        <w:t>）</w:t>
      </w:r>
      <w:r>
        <w:rPr>
          <w:color w:val="auto"/>
          <w:highlight w:val="none"/>
        </w:rPr>
        <w:t>过程中，依据本章附件B中规定的</w:t>
      </w:r>
      <w:r>
        <w:rPr>
          <w:rFonts w:hint="eastAsia"/>
          <w:color w:val="auto"/>
          <w:highlight w:val="none"/>
        </w:rPr>
        <w:t>否决投标</w:t>
      </w:r>
      <w:r>
        <w:rPr>
          <w:color w:val="auto"/>
          <w:highlight w:val="none"/>
        </w:rPr>
        <w:t>条件以及招标文件中规定的</w:t>
      </w:r>
      <w:r>
        <w:rPr>
          <w:rFonts w:hint="eastAsia"/>
          <w:color w:val="auto"/>
          <w:highlight w:val="none"/>
        </w:rPr>
        <w:t>否决投标</w:t>
      </w:r>
      <w:r>
        <w:rPr>
          <w:color w:val="auto"/>
          <w:highlight w:val="none"/>
        </w:rPr>
        <w:t>条件判断投标人的投标是否为</w:t>
      </w:r>
      <w:r>
        <w:rPr>
          <w:rFonts w:hint="eastAsia"/>
          <w:color w:val="auto"/>
          <w:highlight w:val="none"/>
        </w:rPr>
        <w:t>否决投标</w:t>
      </w:r>
      <w:r>
        <w:rPr>
          <w:color w:val="auto"/>
          <w:highlight w:val="none"/>
        </w:rPr>
        <w:t>。</w:t>
      </w:r>
    </w:p>
    <w:p w14:paraId="7B2B70B0">
      <w:pPr>
        <w:adjustRightInd w:val="0"/>
        <w:snapToGrid w:val="0"/>
        <w:spacing w:before="120" w:beforeLines="50" w:after="120" w:afterLines="50" w:line="430" w:lineRule="exact"/>
        <w:rPr>
          <w:b/>
          <w:color w:val="auto"/>
          <w:szCs w:val="21"/>
          <w:highlight w:val="none"/>
        </w:rPr>
      </w:pPr>
      <w:r>
        <w:rPr>
          <w:b/>
          <w:color w:val="auto"/>
          <w:szCs w:val="21"/>
          <w:highlight w:val="none"/>
        </w:rPr>
        <w:t>A5 .其他因素的评审和评分</w:t>
      </w:r>
    </w:p>
    <w:p w14:paraId="4AA6A76F">
      <w:pPr>
        <w:spacing w:line="430" w:lineRule="exact"/>
        <w:ind w:firstLine="420" w:firstLineChars="200"/>
        <w:rPr>
          <w:color w:val="auto"/>
          <w:highlight w:val="none"/>
        </w:rPr>
      </w:pPr>
      <w:r>
        <w:rPr>
          <w:color w:val="auto"/>
          <w:highlight w:val="none"/>
        </w:rPr>
        <w:t>根据评标办法前附表中规定的分值设定、各项评分因素和相应的评分标准，对其他因素进行评审和评分。</w:t>
      </w:r>
    </w:p>
    <w:p w14:paraId="603DC84A">
      <w:pPr>
        <w:adjustRightInd w:val="0"/>
        <w:snapToGrid w:val="0"/>
        <w:spacing w:before="120" w:beforeLines="50" w:after="120" w:afterLines="50" w:line="430" w:lineRule="exact"/>
        <w:rPr>
          <w:b/>
          <w:color w:val="auto"/>
          <w:szCs w:val="21"/>
          <w:highlight w:val="none"/>
        </w:rPr>
      </w:pPr>
      <w:r>
        <w:rPr>
          <w:rFonts w:eastAsia="黑体"/>
          <w:b/>
          <w:color w:val="auto"/>
          <w:szCs w:val="21"/>
          <w:highlight w:val="none"/>
        </w:rPr>
        <w:t>A6.</w:t>
      </w:r>
      <w:r>
        <w:rPr>
          <w:b/>
          <w:color w:val="auto"/>
          <w:szCs w:val="21"/>
          <w:highlight w:val="none"/>
        </w:rPr>
        <w:t>投标报价评审和评分</w:t>
      </w:r>
    </w:p>
    <w:p w14:paraId="4FB2906D">
      <w:pPr>
        <w:spacing w:line="430" w:lineRule="exact"/>
        <w:ind w:firstLine="420" w:firstLineChars="200"/>
        <w:rPr>
          <w:color w:val="auto"/>
          <w:highlight w:val="none"/>
        </w:rPr>
      </w:pPr>
      <w:r>
        <w:rPr>
          <w:color w:val="auto"/>
          <w:highlight w:val="none"/>
        </w:rPr>
        <w:t>只有通过了资格评审（2.1）、</w:t>
      </w:r>
      <w:r>
        <w:rPr>
          <w:rFonts w:hint="eastAsia"/>
          <w:color w:val="auto"/>
          <w:highlight w:val="none"/>
        </w:rPr>
        <w:t>技术部分</w:t>
      </w:r>
      <w:r>
        <w:rPr>
          <w:color w:val="auto"/>
          <w:highlight w:val="none"/>
        </w:rPr>
        <w:t>评审（2.2）、形式性评审（2.3）、响应性评审（2.4），被判定为合格的投标方可进入投标报价评审（2.5）。</w:t>
      </w:r>
    </w:p>
    <w:p w14:paraId="5B3237D1">
      <w:pPr>
        <w:spacing w:line="430" w:lineRule="exact"/>
        <w:ind w:firstLine="420" w:firstLineChars="200"/>
        <w:rPr>
          <w:color w:val="auto"/>
          <w:highlight w:val="none"/>
        </w:rPr>
      </w:pPr>
      <w:r>
        <w:rPr>
          <w:color w:val="auto"/>
          <w:highlight w:val="none"/>
        </w:rPr>
        <w:t xml:space="preserve">评标委员会按照本章附录C规定的量化因素和分值计算投标人报价得分。 </w:t>
      </w:r>
    </w:p>
    <w:p w14:paraId="5E28325A">
      <w:pPr>
        <w:adjustRightInd w:val="0"/>
        <w:snapToGrid w:val="0"/>
        <w:spacing w:before="120" w:beforeLines="50" w:after="120" w:afterLines="50" w:line="430" w:lineRule="exact"/>
        <w:rPr>
          <w:b/>
          <w:color w:val="auto"/>
          <w:szCs w:val="21"/>
          <w:highlight w:val="none"/>
        </w:rPr>
      </w:pPr>
      <w:r>
        <w:rPr>
          <w:b/>
          <w:color w:val="auto"/>
          <w:szCs w:val="21"/>
          <w:highlight w:val="none"/>
        </w:rPr>
        <w:t>A7. 汇总评分结果</w:t>
      </w:r>
    </w:p>
    <w:p w14:paraId="53CA1ACB">
      <w:pPr>
        <w:spacing w:line="430" w:lineRule="exact"/>
        <w:ind w:firstLine="420" w:firstLineChars="200"/>
        <w:rPr>
          <w:color w:val="auto"/>
          <w:highlight w:val="none"/>
        </w:rPr>
      </w:pPr>
      <w:r>
        <w:rPr>
          <w:color w:val="auto"/>
          <w:highlight w:val="none"/>
        </w:rPr>
        <w:t>详细评审工作全部结束后，汇总各个评标委员会成员的详细评审结果，并按照最终评审得分由高至低的次序对投标人进行排序。</w:t>
      </w:r>
    </w:p>
    <w:p w14:paraId="0CE2B1BF">
      <w:pPr>
        <w:adjustRightInd w:val="0"/>
        <w:snapToGrid w:val="0"/>
        <w:spacing w:before="120" w:beforeLines="50" w:after="120" w:afterLines="50" w:line="430" w:lineRule="exact"/>
        <w:rPr>
          <w:b/>
          <w:color w:val="auto"/>
          <w:szCs w:val="21"/>
          <w:highlight w:val="none"/>
        </w:rPr>
      </w:pPr>
      <w:r>
        <w:rPr>
          <w:b/>
          <w:color w:val="auto"/>
          <w:szCs w:val="21"/>
          <w:highlight w:val="none"/>
        </w:rPr>
        <w:t>A8.推荐中标候选人或者直接确定中标人</w:t>
      </w:r>
    </w:p>
    <w:p w14:paraId="1308614C">
      <w:pPr>
        <w:tabs>
          <w:tab w:val="left" w:pos="900"/>
          <w:tab w:val="left" w:pos="966"/>
          <w:tab w:val="left" w:pos="1190"/>
          <w:tab w:val="left" w:pos="1316"/>
        </w:tabs>
        <w:spacing w:line="430" w:lineRule="exact"/>
        <w:ind w:firstLine="420" w:firstLineChars="200"/>
        <w:rPr>
          <w:color w:val="auto"/>
          <w:szCs w:val="21"/>
          <w:highlight w:val="none"/>
        </w:rPr>
      </w:pPr>
      <w:r>
        <w:rPr>
          <w:color w:val="auto"/>
          <w:szCs w:val="21"/>
          <w:highlight w:val="none"/>
        </w:rPr>
        <w:t>评标委员会按评标办法对投标文件进行综合评定、打分，按照投标人综合得分由高到低进行排序，并将前三名推荐为中标候选人。</w:t>
      </w:r>
    </w:p>
    <w:p w14:paraId="0458D2FB">
      <w:pPr>
        <w:tabs>
          <w:tab w:val="left" w:pos="900"/>
          <w:tab w:val="left" w:pos="966"/>
          <w:tab w:val="left" w:pos="1190"/>
          <w:tab w:val="left" w:pos="1316"/>
        </w:tabs>
        <w:spacing w:line="430" w:lineRule="exact"/>
        <w:ind w:firstLine="420" w:firstLineChars="200"/>
        <w:rPr>
          <w:color w:val="auto"/>
          <w:szCs w:val="21"/>
          <w:highlight w:val="none"/>
        </w:rPr>
      </w:pPr>
      <w:r>
        <w:rPr>
          <w:color w:val="auto"/>
          <w:highlight w:val="none"/>
        </w:rPr>
        <w:t>评标委员会将按照</w:t>
      </w:r>
      <w:r>
        <w:rPr>
          <w:color w:val="auto"/>
          <w:szCs w:val="21"/>
          <w:highlight w:val="none"/>
        </w:rPr>
        <w:t>招标人的授权确定中标人。</w:t>
      </w:r>
    </w:p>
    <w:p w14:paraId="0B2FD700">
      <w:pPr>
        <w:adjustRightInd w:val="0"/>
        <w:snapToGrid w:val="0"/>
        <w:spacing w:before="120" w:beforeLines="50" w:after="120" w:afterLines="50" w:line="430" w:lineRule="exact"/>
        <w:rPr>
          <w:b/>
          <w:color w:val="auto"/>
          <w:szCs w:val="21"/>
          <w:highlight w:val="none"/>
        </w:rPr>
      </w:pPr>
      <w:r>
        <w:rPr>
          <w:b/>
          <w:color w:val="auto"/>
          <w:szCs w:val="21"/>
          <w:highlight w:val="none"/>
        </w:rPr>
        <w:t>A8.1  推荐中标候选人</w:t>
      </w:r>
    </w:p>
    <w:p w14:paraId="3E2578F2">
      <w:pPr>
        <w:spacing w:line="430" w:lineRule="exact"/>
        <w:ind w:firstLine="420" w:firstLineChars="200"/>
        <w:rPr>
          <w:color w:val="auto"/>
          <w:highlight w:val="none"/>
        </w:rPr>
      </w:pPr>
      <w:r>
        <w:rPr>
          <w:color w:val="auto"/>
          <w:highlight w:val="none"/>
        </w:rPr>
        <w:t>A8.1.1评标委员会在推荐中标候选人时，应遵照以下原则：</w:t>
      </w:r>
    </w:p>
    <w:p w14:paraId="68A59410">
      <w:pPr>
        <w:spacing w:line="430" w:lineRule="exact"/>
        <w:ind w:firstLine="420" w:firstLineChars="200"/>
        <w:rPr>
          <w:color w:val="auto"/>
          <w:highlight w:val="none"/>
        </w:rPr>
      </w:pPr>
      <w:r>
        <w:rPr>
          <w:color w:val="auto"/>
          <w:highlight w:val="none"/>
        </w:rPr>
        <w:t>(1)、评标委员会将所有投标人按照其综合得分由高至低的次序排列，并根据第二章“投标人须知”前附表第7.1款规定的中标候选人数量，将排序在前的投标人推荐为中标候选人。</w:t>
      </w:r>
    </w:p>
    <w:p w14:paraId="0635D853">
      <w:pPr>
        <w:spacing w:line="430" w:lineRule="exact"/>
        <w:ind w:firstLine="315" w:firstLineChars="150"/>
        <w:rPr>
          <w:color w:val="auto"/>
          <w:highlight w:val="none"/>
        </w:rPr>
      </w:pPr>
      <w:r>
        <w:rPr>
          <w:color w:val="auto"/>
          <w:highlight w:val="none"/>
        </w:rPr>
        <w:t>（2）、若本次招标允许投标人同时投N个标段，但只能中一个标段。投标人如果在N个标段同时取得中标机会，将依据下列顺序确定中标标段：</w:t>
      </w:r>
    </w:p>
    <w:p w14:paraId="6586181E">
      <w:pPr>
        <w:spacing w:line="430" w:lineRule="exact"/>
        <w:ind w:left="1050" w:leftChars="300" w:hanging="420" w:hangingChars="200"/>
        <w:rPr>
          <w:color w:val="auto"/>
          <w:highlight w:val="none"/>
        </w:rPr>
      </w:pPr>
      <w:r>
        <w:rPr>
          <w:color w:val="auto"/>
          <w:highlight w:val="none"/>
        </w:rPr>
        <w:t>A</w:t>
      </w:r>
      <w:r>
        <w:rPr>
          <w:rFonts w:hint="eastAsia"/>
          <w:color w:val="auto"/>
          <w:highlight w:val="none"/>
        </w:rPr>
        <w:t>.</w:t>
      </w:r>
      <w:r>
        <w:rPr>
          <w:color w:val="auto"/>
          <w:highlight w:val="none"/>
        </w:rPr>
        <w:t>对同一个投标人，优先在其排名第一的标段中按投标函中承诺的标段选择顺序推荐中标；</w:t>
      </w:r>
    </w:p>
    <w:p w14:paraId="665BC145">
      <w:pPr>
        <w:spacing w:line="430" w:lineRule="exact"/>
        <w:ind w:left="945" w:leftChars="300" w:hanging="315" w:hangingChars="150"/>
        <w:rPr>
          <w:color w:val="auto"/>
          <w:highlight w:val="none"/>
        </w:rPr>
      </w:pPr>
      <w:r>
        <w:rPr>
          <w:color w:val="auto"/>
          <w:highlight w:val="none"/>
        </w:rPr>
        <w:t>B</w:t>
      </w:r>
      <w:r>
        <w:rPr>
          <w:rFonts w:hint="eastAsia"/>
          <w:color w:val="auto"/>
          <w:highlight w:val="none"/>
        </w:rPr>
        <w:t>.</w:t>
      </w:r>
      <w:r>
        <w:rPr>
          <w:color w:val="auto"/>
          <w:highlight w:val="none"/>
        </w:rPr>
        <w:t>如果某一投标人没有排名第一的标段，但在两个标段同时排名第二，且其所投标段排名第一的投标人已在其他标段中标，从而使该投标人取得中标机会，评标委员会将根据该投标人在投标函中所承诺的标段选择顺序，推荐其为优先选择标段的中标候选人；</w:t>
      </w:r>
    </w:p>
    <w:p w14:paraId="6E75E070">
      <w:pPr>
        <w:spacing w:line="430" w:lineRule="exact"/>
        <w:ind w:left="945" w:leftChars="300" w:hanging="315" w:hangingChars="150"/>
        <w:rPr>
          <w:color w:val="auto"/>
          <w:highlight w:val="none"/>
        </w:rPr>
      </w:pPr>
      <w:r>
        <w:rPr>
          <w:color w:val="auto"/>
          <w:highlight w:val="none"/>
        </w:rPr>
        <w:t>C</w:t>
      </w:r>
      <w:r>
        <w:rPr>
          <w:rFonts w:hint="eastAsia"/>
          <w:color w:val="auto"/>
          <w:highlight w:val="none"/>
        </w:rPr>
        <w:t>.</w:t>
      </w:r>
      <w:r>
        <w:rPr>
          <w:color w:val="auto"/>
          <w:highlight w:val="none"/>
        </w:rPr>
        <w:t>如果某一投标人没有排名第一、第二的标段，但在两个标段同时排名第三，且因所投标段排名第一和第二的投标人已在其他标段中标，从而使该投标人取得中标机会。评标委员会将根据该投标人在投标函中所承诺的标段选择顺序推荐其为优先选择标段的中标候选人；</w:t>
      </w:r>
    </w:p>
    <w:p w14:paraId="4F47388D">
      <w:pPr>
        <w:spacing w:line="430" w:lineRule="exact"/>
        <w:ind w:firstLine="630" w:firstLineChars="300"/>
        <w:rPr>
          <w:color w:val="auto"/>
          <w:highlight w:val="none"/>
        </w:rPr>
      </w:pPr>
      <w:r>
        <w:rPr>
          <w:color w:val="auto"/>
          <w:highlight w:val="none"/>
        </w:rPr>
        <w:t>D</w:t>
      </w:r>
      <w:r>
        <w:rPr>
          <w:rFonts w:hint="eastAsia"/>
          <w:color w:val="auto"/>
          <w:highlight w:val="none"/>
        </w:rPr>
        <w:t>.</w:t>
      </w:r>
      <w:r>
        <w:rPr>
          <w:color w:val="auto"/>
          <w:highlight w:val="none"/>
        </w:rPr>
        <w:t>依照上述办法类推，直到确定所有标段的中标候选人；</w:t>
      </w:r>
    </w:p>
    <w:p w14:paraId="73A78F69">
      <w:pPr>
        <w:spacing w:line="430" w:lineRule="exact"/>
        <w:ind w:left="945" w:leftChars="300" w:hanging="315" w:hangingChars="150"/>
        <w:rPr>
          <w:color w:val="auto"/>
          <w:highlight w:val="none"/>
        </w:rPr>
      </w:pPr>
      <w:r>
        <w:rPr>
          <w:color w:val="auto"/>
          <w:highlight w:val="none"/>
        </w:rPr>
        <w:t>E</w:t>
      </w:r>
      <w:r>
        <w:rPr>
          <w:rFonts w:hint="eastAsia"/>
          <w:color w:val="auto"/>
          <w:highlight w:val="none"/>
        </w:rPr>
        <w:t>.</w:t>
      </w:r>
      <w:r>
        <w:rPr>
          <w:color w:val="auto"/>
          <w:highlight w:val="none"/>
        </w:rPr>
        <w:t>若投标人在投标函中没有承诺的标段选择顺序或所选择的标段顺序无效，则评标委员会将视为该投标人默认按所投标段的标的额从大到小的顺序选择。</w:t>
      </w:r>
    </w:p>
    <w:p w14:paraId="5A5F85C6">
      <w:pPr>
        <w:spacing w:line="430" w:lineRule="exact"/>
        <w:ind w:firstLine="420" w:firstLineChars="200"/>
        <w:rPr>
          <w:b w:val="0"/>
          <w:bCs/>
          <w:color w:val="auto"/>
          <w:highlight w:val="none"/>
        </w:rPr>
      </w:pPr>
      <w:r>
        <w:rPr>
          <w:b w:val="0"/>
          <w:bCs/>
          <w:color w:val="auto"/>
          <w:highlight w:val="none"/>
        </w:rPr>
        <w:t>A8.1.2 如果评标委员会根据本章的规定作</w:t>
      </w:r>
      <w:r>
        <w:rPr>
          <w:rFonts w:hint="eastAsia"/>
          <w:b w:val="0"/>
          <w:bCs/>
          <w:color w:val="auto"/>
          <w:highlight w:val="none"/>
        </w:rPr>
        <w:t>否决投标</w:t>
      </w:r>
      <w:r>
        <w:rPr>
          <w:b w:val="0"/>
          <w:bCs/>
          <w:color w:val="auto"/>
          <w:highlight w:val="none"/>
        </w:rPr>
        <w:t>处理后，有效投标不足三个，且少于第二章“投标人须知”前附表第7.1款规定的中标候选人数量的，招标人应当重新招标。</w:t>
      </w:r>
    </w:p>
    <w:p w14:paraId="241B6200">
      <w:pPr>
        <w:spacing w:line="430" w:lineRule="exact"/>
        <w:ind w:firstLine="420" w:firstLineChars="200"/>
        <w:rPr>
          <w:color w:val="auto"/>
          <w:highlight w:val="none"/>
        </w:rPr>
      </w:pPr>
      <w:r>
        <w:rPr>
          <w:color w:val="auto"/>
          <w:highlight w:val="none"/>
        </w:rPr>
        <w:t>A8.1.3 须招标项目的评标委员会认定</w:t>
      </w:r>
      <w:r>
        <w:rPr>
          <w:rFonts w:hint="eastAsia"/>
          <w:color w:val="auto"/>
          <w:highlight w:val="none"/>
        </w:rPr>
        <w:t>否决投标</w:t>
      </w:r>
      <w:r>
        <w:rPr>
          <w:color w:val="auto"/>
          <w:highlight w:val="none"/>
        </w:rPr>
        <w:t>后，因有效投标不足三个使得投标明显缺乏竞争的，评标委员会可以建议招标人重新招标。</w:t>
      </w:r>
    </w:p>
    <w:p w14:paraId="18115448">
      <w:pPr>
        <w:spacing w:line="430" w:lineRule="exact"/>
        <w:ind w:firstLine="420" w:firstLineChars="200"/>
        <w:rPr>
          <w:color w:val="auto"/>
          <w:highlight w:val="none"/>
        </w:rPr>
      </w:pPr>
      <w:r>
        <w:rPr>
          <w:color w:val="auto"/>
          <w:highlight w:val="none"/>
        </w:rPr>
        <w:t>A8.1.4 投标人数量少于三个或者所有投标均被作</w:t>
      </w:r>
      <w:r>
        <w:rPr>
          <w:rFonts w:hint="eastAsia"/>
          <w:color w:val="auto"/>
          <w:highlight w:val="none"/>
        </w:rPr>
        <w:t>否决投标</w:t>
      </w:r>
      <w:r>
        <w:rPr>
          <w:color w:val="auto"/>
          <w:highlight w:val="none"/>
        </w:rPr>
        <w:t>处理的，招标人应当重新招标。</w:t>
      </w:r>
    </w:p>
    <w:p w14:paraId="09C403A3">
      <w:pPr>
        <w:spacing w:before="120" w:beforeLines="50" w:after="120" w:afterLines="50" w:line="430" w:lineRule="exact"/>
        <w:rPr>
          <w:b/>
          <w:color w:val="auto"/>
          <w:highlight w:val="none"/>
        </w:rPr>
      </w:pPr>
      <w:r>
        <w:rPr>
          <w:b/>
          <w:color w:val="auto"/>
          <w:highlight w:val="none"/>
        </w:rPr>
        <w:t>A8.2直接确定中标人</w:t>
      </w:r>
    </w:p>
    <w:p w14:paraId="7CAF06F9">
      <w:pPr>
        <w:spacing w:line="430" w:lineRule="exact"/>
        <w:ind w:firstLine="420" w:firstLineChars="200"/>
        <w:rPr>
          <w:color w:val="auto"/>
          <w:highlight w:val="none"/>
        </w:rPr>
      </w:pPr>
      <w:r>
        <w:rPr>
          <w:color w:val="auto"/>
          <w:highlight w:val="none"/>
        </w:rPr>
        <w:t>第二章“投标人须知”前附表授权评标委员会直接确定中标人，因此评标委员会将按照投标人综合得分由高至低的次序排列，将排序在前的三名投标人推荐为中标候选人，并确定排名</w:t>
      </w:r>
      <w:r>
        <w:rPr>
          <w:rFonts w:hint="eastAsia"/>
          <w:color w:val="auto"/>
          <w:highlight w:val="none"/>
          <w:lang w:val="en-US" w:eastAsia="zh-CN"/>
        </w:rPr>
        <w:t>第一</w:t>
      </w:r>
      <w:r>
        <w:rPr>
          <w:color w:val="auto"/>
          <w:highlight w:val="none"/>
        </w:rPr>
        <w:t>的投标人为预中标人。中标公示期间没有异议、异议不成立、没有投诉或者投诉不成立，没有履行诉讼程序或者诉讼不成立的，预中标人即为中标人。</w:t>
      </w:r>
    </w:p>
    <w:p w14:paraId="12C18300">
      <w:pPr>
        <w:spacing w:before="120" w:beforeLines="50" w:after="120" w:afterLines="50" w:line="430" w:lineRule="exact"/>
        <w:rPr>
          <w:b/>
          <w:color w:val="auto"/>
          <w:highlight w:val="none"/>
        </w:rPr>
      </w:pPr>
      <w:r>
        <w:rPr>
          <w:b/>
          <w:color w:val="auto"/>
          <w:highlight w:val="none"/>
        </w:rPr>
        <w:t>A8．3编制评标报告</w:t>
      </w:r>
    </w:p>
    <w:p w14:paraId="060E38CE">
      <w:pPr>
        <w:spacing w:line="430" w:lineRule="exact"/>
        <w:ind w:firstLine="420" w:firstLineChars="200"/>
        <w:rPr>
          <w:color w:val="auto"/>
          <w:highlight w:val="none"/>
        </w:rPr>
      </w:pPr>
      <w:r>
        <w:rPr>
          <w:color w:val="auto"/>
          <w:highlight w:val="none"/>
        </w:rPr>
        <w:t>评标委员会根据本章评审结果向招标人提交评标报告。评标报告由全体评标委员会成员签字，并于评标结束时抄送有关行政监督部门。评标报告包括以下内容：</w:t>
      </w:r>
    </w:p>
    <w:p w14:paraId="2889DFF5">
      <w:pPr>
        <w:spacing w:line="430" w:lineRule="exact"/>
        <w:ind w:firstLine="420" w:firstLineChars="200"/>
        <w:rPr>
          <w:color w:val="auto"/>
          <w:highlight w:val="none"/>
        </w:rPr>
      </w:pPr>
      <w:r>
        <w:rPr>
          <w:color w:val="auto"/>
          <w:highlight w:val="none"/>
        </w:rPr>
        <w:t>（1）评标基本情况和数据表；</w:t>
      </w:r>
    </w:p>
    <w:p w14:paraId="75D395E0">
      <w:pPr>
        <w:spacing w:line="430" w:lineRule="exact"/>
        <w:ind w:firstLine="420" w:firstLineChars="200"/>
        <w:rPr>
          <w:color w:val="auto"/>
          <w:highlight w:val="none"/>
        </w:rPr>
      </w:pPr>
      <w:r>
        <w:rPr>
          <w:color w:val="auto"/>
          <w:highlight w:val="none"/>
        </w:rPr>
        <w:t>（2）评标委员会成员名单；</w:t>
      </w:r>
    </w:p>
    <w:p w14:paraId="3E3F7EFE">
      <w:pPr>
        <w:spacing w:line="430" w:lineRule="exact"/>
        <w:ind w:firstLine="420" w:firstLineChars="200"/>
        <w:rPr>
          <w:color w:val="auto"/>
          <w:highlight w:val="none"/>
        </w:rPr>
      </w:pPr>
      <w:r>
        <w:rPr>
          <w:color w:val="auto"/>
          <w:highlight w:val="none"/>
        </w:rPr>
        <w:t>（3）开标记录；</w:t>
      </w:r>
    </w:p>
    <w:p w14:paraId="3D4F5324">
      <w:pPr>
        <w:spacing w:line="430" w:lineRule="exact"/>
        <w:ind w:firstLine="420" w:firstLineChars="200"/>
        <w:rPr>
          <w:color w:val="auto"/>
          <w:highlight w:val="none"/>
        </w:rPr>
      </w:pPr>
      <w:r>
        <w:rPr>
          <w:color w:val="auto"/>
          <w:highlight w:val="none"/>
        </w:rPr>
        <w:t>（4）符合要求的投标一览表；</w:t>
      </w:r>
    </w:p>
    <w:p w14:paraId="7A13CBFF">
      <w:pPr>
        <w:spacing w:line="430" w:lineRule="exact"/>
        <w:ind w:firstLine="420" w:firstLineChars="200"/>
        <w:rPr>
          <w:color w:val="auto"/>
          <w:highlight w:val="none"/>
        </w:rPr>
      </w:pPr>
      <w:r>
        <w:rPr>
          <w:color w:val="auto"/>
          <w:highlight w:val="none"/>
        </w:rPr>
        <w:t>（5）</w:t>
      </w:r>
      <w:r>
        <w:rPr>
          <w:rFonts w:hint="eastAsia"/>
          <w:color w:val="auto"/>
          <w:highlight w:val="none"/>
        </w:rPr>
        <w:t>否决投标</w:t>
      </w:r>
      <w:r>
        <w:rPr>
          <w:color w:val="auto"/>
          <w:highlight w:val="none"/>
        </w:rPr>
        <w:t>情况说明；</w:t>
      </w:r>
    </w:p>
    <w:p w14:paraId="4911728D">
      <w:pPr>
        <w:spacing w:line="430" w:lineRule="exact"/>
        <w:ind w:firstLine="420" w:firstLineChars="200"/>
        <w:rPr>
          <w:color w:val="auto"/>
          <w:highlight w:val="none"/>
        </w:rPr>
      </w:pPr>
      <w:r>
        <w:rPr>
          <w:color w:val="auto"/>
          <w:highlight w:val="none"/>
        </w:rPr>
        <w:t>（6）评标标准、评标方法或者评标因素一览表；</w:t>
      </w:r>
    </w:p>
    <w:p w14:paraId="16796001">
      <w:pPr>
        <w:spacing w:line="430" w:lineRule="exact"/>
        <w:ind w:left="945" w:leftChars="200" w:hanging="525" w:hangingChars="250"/>
        <w:rPr>
          <w:color w:val="auto"/>
          <w:highlight w:val="none"/>
        </w:rPr>
      </w:pPr>
      <w:r>
        <w:rPr>
          <w:color w:val="auto"/>
          <w:highlight w:val="none"/>
        </w:rPr>
        <w:t>（7）经评审的价格一览表</w:t>
      </w:r>
      <w:r>
        <w:rPr>
          <w:rFonts w:hint="eastAsia"/>
          <w:color w:val="auto"/>
          <w:highlight w:val="none"/>
        </w:rPr>
        <w:t>（</w:t>
      </w:r>
      <w:r>
        <w:rPr>
          <w:color w:val="auto"/>
          <w:highlight w:val="none"/>
        </w:rPr>
        <w:t>包括评标委员会在评标过程中所形成的所有记载评标结果、结论的表格、说明、记录等文件</w:t>
      </w:r>
      <w:r>
        <w:rPr>
          <w:rFonts w:hint="eastAsia"/>
          <w:color w:val="auto"/>
          <w:highlight w:val="none"/>
        </w:rPr>
        <w:t>）</w:t>
      </w:r>
      <w:r>
        <w:rPr>
          <w:color w:val="auto"/>
          <w:highlight w:val="none"/>
        </w:rPr>
        <w:t>；</w:t>
      </w:r>
    </w:p>
    <w:p w14:paraId="524D2DE1">
      <w:pPr>
        <w:spacing w:line="430" w:lineRule="exact"/>
        <w:ind w:firstLine="420" w:firstLineChars="200"/>
        <w:rPr>
          <w:color w:val="auto"/>
          <w:highlight w:val="none"/>
        </w:rPr>
      </w:pPr>
      <w:r>
        <w:rPr>
          <w:color w:val="auto"/>
          <w:highlight w:val="none"/>
        </w:rPr>
        <w:t>（8）经评审的投标人排序；</w:t>
      </w:r>
    </w:p>
    <w:p w14:paraId="36163493">
      <w:pPr>
        <w:spacing w:line="430" w:lineRule="exact"/>
        <w:ind w:firstLine="420" w:firstLineChars="200"/>
        <w:rPr>
          <w:color w:val="auto"/>
          <w:highlight w:val="none"/>
        </w:rPr>
      </w:pPr>
      <w:r>
        <w:rPr>
          <w:color w:val="auto"/>
          <w:highlight w:val="none"/>
        </w:rPr>
        <w:t>（9）确定的预中标候选人名单与签订合同前要处理的事宜；</w:t>
      </w:r>
    </w:p>
    <w:p w14:paraId="68139D96">
      <w:pPr>
        <w:spacing w:line="430" w:lineRule="exact"/>
        <w:ind w:firstLine="420" w:firstLineChars="200"/>
        <w:rPr>
          <w:color w:val="auto"/>
          <w:highlight w:val="none"/>
        </w:rPr>
      </w:pPr>
      <w:r>
        <w:rPr>
          <w:color w:val="auto"/>
          <w:highlight w:val="none"/>
        </w:rPr>
        <w:t>（10）澄清、说明、补正事项纪要。</w:t>
      </w:r>
    </w:p>
    <w:p w14:paraId="7C71E688">
      <w:pPr>
        <w:spacing w:before="120" w:beforeLines="50" w:after="120" w:afterLines="50" w:line="430" w:lineRule="exact"/>
        <w:rPr>
          <w:b/>
          <w:color w:val="auto"/>
          <w:highlight w:val="none"/>
        </w:rPr>
      </w:pPr>
      <w:r>
        <w:rPr>
          <w:b/>
          <w:color w:val="auto"/>
          <w:highlight w:val="none"/>
        </w:rPr>
        <w:t>A9．特殊情况的处置程序</w:t>
      </w:r>
    </w:p>
    <w:p w14:paraId="64734CAF">
      <w:pPr>
        <w:spacing w:before="120" w:beforeLines="50" w:after="120" w:afterLines="50" w:line="430" w:lineRule="exact"/>
        <w:rPr>
          <w:b/>
          <w:color w:val="auto"/>
          <w:highlight w:val="none"/>
        </w:rPr>
      </w:pPr>
      <w:r>
        <w:rPr>
          <w:b/>
          <w:color w:val="auto"/>
          <w:highlight w:val="none"/>
        </w:rPr>
        <w:t>A9.1关于评标活动暂停</w:t>
      </w:r>
    </w:p>
    <w:p w14:paraId="43BEB720">
      <w:pPr>
        <w:spacing w:line="430" w:lineRule="exact"/>
        <w:ind w:firstLine="420" w:firstLineChars="200"/>
        <w:rPr>
          <w:color w:val="auto"/>
          <w:highlight w:val="none"/>
        </w:rPr>
      </w:pPr>
      <w:r>
        <w:rPr>
          <w:color w:val="auto"/>
          <w:highlight w:val="none"/>
        </w:rPr>
        <w:t>A9.2.1评标委员会应当执行连续评标的原则，按评标办法中规定的程序、内容、方法、标准完成全部评标工作。只有发生不可抗力导致评标工作无法继续时，评标活动方可暂停。</w:t>
      </w:r>
    </w:p>
    <w:p w14:paraId="03A82DE7">
      <w:pPr>
        <w:spacing w:line="430" w:lineRule="exact"/>
        <w:ind w:firstLine="420" w:firstLineChars="200"/>
        <w:rPr>
          <w:color w:val="auto"/>
          <w:highlight w:val="none"/>
        </w:rPr>
      </w:pPr>
      <w:r>
        <w:rPr>
          <w:color w:val="auto"/>
          <w:highlight w:val="none"/>
        </w:rPr>
        <w:t>A9.2.2发生评标暂停情况时，评标委员会应当封存全部投标文件和评标记录，待不可抗力的影响结束且具备继续评标的条件时，由原评标委员会继续评标。</w:t>
      </w:r>
    </w:p>
    <w:p w14:paraId="596D7F7A">
      <w:pPr>
        <w:spacing w:before="120" w:beforeLines="50" w:after="120" w:afterLines="50" w:line="430" w:lineRule="exact"/>
        <w:rPr>
          <w:b/>
          <w:color w:val="auto"/>
          <w:highlight w:val="none"/>
        </w:rPr>
      </w:pPr>
      <w:r>
        <w:rPr>
          <w:b/>
          <w:color w:val="auto"/>
          <w:highlight w:val="none"/>
        </w:rPr>
        <w:t>A9.2 关于评标中途更换评委</w:t>
      </w:r>
    </w:p>
    <w:p w14:paraId="6E5C02FF">
      <w:pPr>
        <w:spacing w:line="430" w:lineRule="exact"/>
        <w:ind w:firstLine="420" w:firstLineChars="200"/>
        <w:rPr>
          <w:color w:val="auto"/>
          <w:highlight w:val="none"/>
        </w:rPr>
      </w:pPr>
      <w:r>
        <w:rPr>
          <w:color w:val="auto"/>
          <w:highlight w:val="none"/>
        </w:rPr>
        <w:t>A9.2.1  除非发生下列情况之一，评标委员会成员不得在评标中途更换：</w:t>
      </w:r>
    </w:p>
    <w:p w14:paraId="6B9A96C6">
      <w:pPr>
        <w:spacing w:line="430" w:lineRule="exact"/>
        <w:ind w:firstLine="840" w:firstLineChars="400"/>
        <w:rPr>
          <w:color w:val="auto"/>
          <w:highlight w:val="none"/>
        </w:rPr>
      </w:pPr>
      <w:r>
        <w:rPr>
          <w:color w:val="auto"/>
          <w:highlight w:val="none"/>
        </w:rPr>
        <w:t>(1) 因不可抗拒的客观原因，不能到场或需在评标中途退出评标活动的；</w:t>
      </w:r>
    </w:p>
    <w:p w14:paraId="10E6E852">
      <w:pPr>
        <w:spacing w:line="430" w:lineRule="exact"/>
        <w:ind w:firstLine="840" w:firstLineChars="400"/>
        <w:rPr>
          <w:color w:val="auto"/>
          <w:highlight w:val="none"/>
        </w:rPr>
      </w:pPr>
      <w:r>
        <w:rPr>
          <w:color w:val="auto"/>
          <w:highlight w:val="none"/>
        </w:rPr>
        <w:t>(2) 因存在回避事由、健康、能力等原因不能继续评标，或者擅离职守的；</w:t>
      </w:r>
    </w:p>
    <w:p w14:paraId="72A0E3D8">
      <w:pPr>
        <w:spacing w:line="430" w:lineRule="exact"/>
        <w:ind w:firstLine="840" w:firstLineChars="400"/>
        <w:rPr>
          <w:color w:val="auto"/>
          <w:highlight w:val="none"/>
        </w:rPr>
      </w:pPr>
      <w:r>
        <w:rPr>
          <w:color w:val="auto"/>
          <w:highlight w:val="none"/>
        </w:rPr>
        <w:t>(3) 根据法律法规规定，某个或某几个评标委员会成员需要回避的。</w:t>
      </w:r>
    </w:p>
    <w:p w14:paraId="19FFC9C1">
      <w:pPr>
        <w:spacing w:line="430" w:lineRule="exact"/>
        <w:ind w:firstLine="420" w:firstLineChars="200"/>
        <w:rPr>
          <w:color w:val="auto"/>
          <w:highlight w:val="none"/>
        </w:rPr>
      </w:pPr>
      <w:r>
        <w:rPr>
          <w:color w:val="auto"/>
          <w:highlight w:val="none"/>
        </w:rPr>
        <w:t>A9.2.2评标委员会成员在评标中途需要更换的，由招标人根据本招标文件规定的评标委员会成员产生方式另行确定替代者进行评标。评标委员会成员更换后，被更换的评标委员会成员已作出的评审结论无效，由替换其的评标专家重新进行评审。已形成评标报告的，应当作相应修改。</w:t>
      </w:r>
    </w:p>
    <w:p w14:paraId="76028644">
      <w:pPr>
        <w:spacing w:before="120" w:beforeLines="50" w:after="120" w:afterLines="50" w:line="430" w:lineRule="exact"/>
        <w:rPr>
          <w:b/>
          <w:color w:val="auto"/>
          <w:highlight w:val="none"/>
        </w:rPr>
      </w:pPr>
      <w:r>
        <w:rPr>
          <w:b/>
          <w:color w:val="auto"/>
          <w:highlight w:val="none"/>
        </w:rPr>
        <w:t>A9.3记名投票</w:t>
      </w:r>
    </w:p>
    <w:p w14:paraId="7E7B5810">
      <w:pPr>
        <w:adjustRightInd w:val="0"/>
        <w:snapToGrid w:val="0"/>
        <w:spacing w:line="430" w:lineRule="exact"/>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在任何评标环节中，需评标委员会就某项定性的评审结论做出表决的，由评标委员会全体成员按照少数服从多数的原则，以记名投票方式表决，表决结果合法有效。</w:t>
      </w:r>
    </w:p>
    <w:p w14:paraId="5BA0A238">
      <w:pPr>
        <w:spacing w:before="120" w:beforeLines="50" w:after="120" w:afterLines="50" w:line="430" w:lineRule="exact"/>
        <w:rPr>
          <w:b/>
          <w:color w:val="auto"/>
          <w:highlight w:val="none"/>
        </w:rPr>
      </w:pPr>
      <w:r>
        <w:rPr>
          <w:b/>
          <w:color w:val="auto"/>
          <w:highlight w:val="none"/>
        </w:rPr>
        <w:t>A10.补充条款</w:t>
      </w:r>
    </w:p>
    <w:p w14:paraId="2E2788FE">
      <w:pPr>
        <w:adjustRightInd w:val="0"/>
        <w:snapToGrid w:val="0"/>
        <w:spacing w:line="430" w:lineRule="exact"/>
        <w:ind w:firstLine="420" w:firstLineChars="200"/>
        <w:rPr>
          <w:rFonts w:hint="default" w:eastAsia="宋体"/>
          <w:color w:val="auto"/>
          <w:szCs w:val="21"/>
          <w:highlight w:val="none"/>
          <w:lang w:val="en-US" w:eastAsia="zh-CN"/>
        </w:rPr>
        <w:sectPr>
          <w:pgSz w:w="11906" w:h="16838"/>
          <w:pgMar w:top="1588" w:right="1418" w:bottom="1418" w:left="1418" w:header="851" w:footer="851" w:gutter="0"/>
          <w:pgNumType w:fmt="decimal" w:chapStyle="1"/>
          <w:cols w:space="720" w:num="1"/>
          <w:docGrid w:linePitch="312" w:charSpace="0"/>
        </w:sectPr>
      </w:pPr>
      <w:r>
        <w:rPr>
          <w:rFonts w:hint="eastAsia"/>
          <w:color w:val="auto"/>
          <w:szCs w:val="21"/>
          <w:highlight w:val="none"/>
          <w:lang w:val="en-US" w:eastAsia="zh-CN"/>
        </w:rPr>
        <w:t>..........</w:t>
      </w:r>
    </w:p>
    <w:p w14:paraId="411A3FF9">
      <w:pPr>
        <w:rPr>
          <w:rFonts w:eastAsia="黑体"/>
          <w:color w:val="auto"/>
          <w:sz w:val="24"/>
          <w:highlight w:val="none"/>
        </w:rPr>
      </w:pPr>
      <w:r>
        <w:rPr>
          <w:rFonts w:eastAsia="黑体"/>
          <w:color w:val="auto"/>
          <w:sz w:val="24"/>
          <w:highlight w:val="none"/>
        </w:rPr>
        <w:br w:type="page"/>
      </w:r>
    </w:p>
    <w:p w14:paraId="670113B3">
      <w:pPr>
        <w:tabs>
          <w:tab w:val="left" w:pos="691"/>
        </w:tabs>
        <w:jc w:val="left"/>
        <w:rPr>
          <w:rFonts w:eastAsia="黑体"/>
          <w:color w:val="auto"/>
          <w:sz w:val="24"/>
          <w:highlight w:val="none"/>
        </w:rPr>
      </w:pPr>
      <w:r>
        <w:rPr>
          <w:rFonts w:eastAsia="黑体"/>
          <w:color w:val="auto"/>
          <w:sz w:val="24"/>
          <w:highlight w:val="none"/>
        </w:rPr>
        <w:t>附件</w:t>
      </w:r>
      <w:r>
        <w:rPr>
          <w:b/>
          <w:color w:val="auto"/>
          <w:sz w:val="24"/>
          <w:highlight w:val="none"/>
        </w:rPr>
        <w:t>B</w:t>
      </w:r>
      <w:r>
        <w:rPr>
          <w:rFonts w:eastAsia="黑体"/>
          <w:color w:val="auto"/>
          <w:sz w:val="24"/>
          <w:highlight w:val="none"/>
        </w:rPr>
        <w:t>：</w:t>
      </w:r>
      <w:r>
        <w:rPr>
          <w:rFonts w:hint="eastAsia" w:eastAsia="黑体"/>
          <w:color w:val="auto"/>
          <w:sz w:val="24"/>
          <w:highlight w:val="none"/>
        </w:rPr>
        <w:t>否决投标</w:t>
      </w:r>
      <w:r>
        <w:rPr>
          <w:rFonts w:eastAsia="黑体"/>
          <w:color w:val="auto"/>
          <w:sz w:val="24"/>
          <w:highlight w:val="none"/>
        </w:rPr>
        <w:t>条件</w:t>
      </w:r>
    </w:p>
    <w:p w14:paraId="71FC473E">
      <w:pPr>
        <w:adjustRightInd w:val="0"/>
        <w:snapToGrid w:val="0"/>
        <w:spacing w:before="240" w:beforeLines="100" w:after="240" w:afterLines="100" w:line="430" w:lineRule="exact"/>
        <w:ind w:firstLine="3920" w:firstLineChars="1400"/>
        <w:rPr>
          <w:rFonts w:eastAsia="黑体"/>
          <w:color w:val="auto"/>
          <w:sz w:val="28"/>
          <w:szCs w:val="28"/>
          <w:highlight w:val="none"/>
        </w:rPr>
      </w:pPr>
      <w:r>
        <w:rPr>
          <w:rFonts w:hint="eastAsia" w:eastAsia="黑体"/>
          <w:color w:val="auto"/>
          <w:sz w:val="28"/>
          <w:szCs w:val="28"/>
          <w:highlight w:val="none"/>
        </w:rPr>
        <w:t>否决投标</w:t>
      </w:r>
      <w:r>
        <w:rPr>
          <w:rFonts w:eastAsia="黑体"/>
          <w:color w:val="auto"/>
          <w:sz w:val="28"/>
          <w:szCs w:val="28"/>
          <w:highlight w:val="none"/>
        </w:rPr>
        <w:t>条件</w:t>
      </w:r>
    </w:p>
    <w:p w14:paraId="71E9100D">
      <w:pPr>
        <w:adjustRightInd w:val="0"/>
        <w:snapToGrid w:val="0"/>
        <w:spacing w:before="120" w:beforeLines="50" w:after="120" w:afterLines="50" w:line="430" w:lineRule="exact"/>
        <w:rPr>
          <w:b/>
          <w:color w:val="auto"/>
          <w:szCs w:val="21"/>
          <w:highlight w:val="none"/>
        </w:rPr>
      </w:pPr>
      <w:r>
        <w:rPr>
          <w:b/>
          <w:color w:val="auto"/>
          <w:szCs w:val="21"/>
          <w:highlight w:val="none"/>
        </w:rPr>
        <w:t>B0.总  则</w:t>
      </w:r>
    </w:p>
    <w:p w14:paraId="685B5C62">
      <w:pPr>
        <w:adjustRightInd w:val="0"/>
        <w:snapToGrid w:val="0"/>
        <w:spacing w:line="430" w:lineRule="exact"/>
        <w:ind w:firstLine="420" w:firstLineChars="200"/>
        <w:rPr>
          <w:b/>
          <w:bCs/>
          <w:color w:val="auto"/>
          <w:szCs w:val="21"/>
          <w:highlight w:val="none"/>
        </w:rPr>
      </w:pPr>
      <w:r>
        <w:rPr>
          <w:color w:val="auto"/>
          <w:szCs w:val="21"/>
          <w:highlight w:val="none"/>
        </w:rPr>
        <w:t>本附件所集中列示的</w:t>
      </w:r>
      <w:r>
        <w:rPr>
          <w:rFonts w:hint="eastAsia"/>
          <w:color w:val="auto"/>
          <w:szCs w:val="21"/>
          <w:highlight w:val="none"/>
        </w:rPr>
        <w:t>否决投标</w:t>
      </w:r>
      <w:r>
        <w:rPr>
          <w:color w:val="auto"/>
          <w:szCs w:val="21"/>
          <w:highlight w:val="none"/>
        </w:rPr>
        <w:t>条件，是本章“评标办法”的组成部分，是对第二章“投标人须知”和招标文件各章正文部分所规定的</w:t>
      </w:r>
      <w:r>
        <w:rPr>
          <w:rFonts w:hint="eastAsia"/>
          <w:color w:val="auto"/>
          <w:szCs w:val="21"/>
          <w:highlight w:val="none"/>
        </w:rPr>
        <w:t>否决投标</w:t>
      </w:r>
      <w:r>
        <w:rPr>
          <w:color w:val="auto"/>
          <w:szCs w:val="21"/>
          <w:highlight w:val="none"/>
        </w:rPr>
        <w:t>条件的总结和补充，</w:t>
      </w:r>
      <w:r>
        <w:rPr>
          <w:bCs/>
          <w:color w:val="auto"/>
          <w:szCs w:val="21"/>
          <w:highlight w:val="none"/>
        </w:rPr>
        <w:t>如果出现相互矛盾或遗漏的情况，以第二章“投标人须知”和招标文件各章规定为准。</w:t>
      </w:r>
    </w:p>
    <w:p w14:paraId="12FF5CC0">
      <w:pPr>
        <w:adjustRightInd w:val="0"/>
        <w:snapToGrid w:val="0"/>
        <w:spacing w:before="120" w:beforeLines="50" w:after="120" w:afterLines="50" w:line="430" w:lineRule="exact"/>
        <w:rPr>
          <w:b/>
          <w:color w:val="auto"/>
          <w:szCs w:val="21"/>
          <w:highlight w:val="none"/>
        </w:rPr>
      </w:pPr>
      <w:r>
        <w:rPr>
          <w:b/>
          <w:color w:val="auto"/>
          <w:szCs w:val="21"/>
          <w:highlight w:val="none"/>
        </w:rPr>
        <w:t>B1．</w:t>
      </w:r>
      <w:r>
        <w:rPr>
          <w:rFonts w:hint="eastAsia"/>
          <w:b/>
          <w:color w:val="auto"/>
          <w:szCs w:val="21"/>
          <w:highlight w:val="none"/>
        </w:rPr>
        <w:t>否决投标</w:t>
      </w:r>
      <w:r>
        <w:rPr>
          <w:b/>
          <w:color w:val="auto"/>
          <w:szCs w:val="21"/>
          <w:highlight w:val="none"/>
        </w:rPr>
        <w:t>条件</w:t>
      </w:r>
    </w:p>
    <w:p w14:paraId="7BF9444B">
      <w:pPr>
        <w:spacing w:line="430" w:lineRule="exact"/>
        <w:rPr>
          <w:b/>
          <w:color w:val="auto"/>
          <w:highlight w:val="none"/>
        </w:rPr>
      </w:pPr>
      <w:r>
        <w:rPr>
          <w:b/>
          <w:color w:val="auto"/>
          <w:highlight w:val="none"/>
        </w:rPr>
        <w:t>B1.1  联合体投标有下列情形之一的，其投标作</w:t>
      </w:r>
      <w:r>
        <w:rPr>
          <w:rFonts w:hint="eastAsia"/>
          <w:b/>
          <w:color w:val="auto"/>
          <w:highlight w:val="none"/>
        </w:rPr>
        <w:t>否决投标</w:t>
      </w:r>
      <w:r>
        <w:rPr>
          <w:b/>
          <w:color w:val="auto"/>
          <w:highlight w:val="none"/>
        </w:rPr>
        <w:t>处理：</w:t>
      </w:r>
    </w:p>
    <w:p w14:paraId="1D785C57">
      <w:pPr>
        <w:spacing w:line="430" w:lineRule="exact"/>
        <w:ind w:firstLine="420" w:firstLineChars="200"/>
        <w:rPr>
          <w:color w:val="auto"/>
          <w:highlight w:val="none"/>
        </w:rPr>
      </w:pPr>
      <w:r>
        <w:rPr>
          <w:color w:val="auto"/>
          <w:highlight w:val="none"/>
        </w:rPr>
        <w:t>（1）联合体各方未在投标前签订联合体协议的、或未在投标时向招标人提供联合体协议书的、或联合体协议中未明确联合体牵头人和联合体内各方的分工、权利、义务的；</w:t>
      </w:r>
    </w:p>
    <w:p w14:paraId="51F4DD08">
      <w:pPr>
        <w:spacing w:line="430" w:lineRule="exact"/>
        <w:ind w:firstLine="420" w:firstLineChars="200"/>
        <w:rPr>
          <w:b/>
          <w:color w:val="auto"/>
          <w:highlight w:val="none"/>
        </w:rPr>
      </w:pPr>
      <w:r>
        <w:rPr>
          <w:color w:val="auto"/>
          <w:highlight w:val="none"/>
        </w:rPr>
        <w:t>（2）联合体内成员以自己名义单独或参加其他联合体在同一标段中投标的，相关投标均无效。</w:t>
      </w:r>
    </w:p>
    <w:p w14:paraId="3F2D63EE">
      <w:pPr>
        <w:spacing w:line="430" w:lineRule="exact"/>
        <w:rPr>
          <w:b/>
          <w:color w:val="auto"/>
          <w:highlight w:val="none"/>
        </w:rPr>
      </w:pPr>
      <w:r>
        <w:rPr>
          <w:b/>
          <w:color w:val="auto"/>
          <w:highlight w:val="none"/>
        </w:rPr>
        <w:t>B1.2投标人有下列情形之一的，其投标作</w:t>
      </w:r>
      <w:r>
        <w:rPr>
          <w:rFonts w:hint="eastAsia"/>
          <w:b/>
          <w:color w:val="auto"/>
          <w:highlight w:val="none"/>
        </w:rPr>
        <w:t>否决投标</w:t>
      </w:r>
      <w:r>
        <w:rPr>
          <w:b/>
          <w:color w:val="auto"/>
          <w:highlight w:val="none"/>
        </w:rPr>
        <w:t>处理：</w:t>
      </w:r>
    </w:p>
    <w:p w14:paraId="71A1058E">
      <w:pPr>
        <w:adjustRightInd w:val="0"/>
        <w:snapToGrid w:val="0"/>
        <w:spacing w:line="430" w:lineRule="exact"/>
        <w:ind w:firstLine="718" w:firstLineChars="342"/>
        <w:rPr>
          <w:color w:val="auto"/>
          <w:highlight w:val="none"/>
        </w:rPr>
      </w:pPr>
      <w:r>
        <w:rPr>
          <w:color w:val="auto"/>
          <w:highlight w:val="none"/>
        </w:rPr>
        <w:t>（</w:t>
      </w:r>
      <w:r>
        <w:rPr>
          <w:rFonts w:hint="eastAsia"/>
          <w:color w:val="auto"/>
          <w:highlight w:val="none"/>
        </w:rPr>
        <w:t>1</w:t>
      </w:r>
      <w:r>
        <w:rPr>
          <w:color w:val="auto"/>
          <w:highlight w:val="none"/>
        </w:rPr>
        <w:t xml:space="preserve">）为本标段提供招标代理服务的； </w:t>
      </w:r>
    </w:p>
    <w:p w14:paraId="6B6BFB0B">
      <w:pPr>
        <w:adjustRightInd w:val="0"/>
        <w:snapToGrid w:val="0"/>
        <w:spacing w:line="430" w:lineRule="exact"/>
        <w:ind w:firstLine="718" w:firstLineChars="342"/>
        <w:rPr>
          <w:color w:val="auto"/>
          <w:highlight w:val="none"/>
        </w:rPr>
      </w:pPr>
      <w:r>
        <w:rPr>
          <w:color w:val="auto"/>
          <w:highlight w:val="none"/>
        </w:rPr>
        <w:t>（</w:t>
      </w:r>
      <w:r>
        <w:rPr>
          <w:rFonts w:hint="eastAsia"/>
          <w:color w:val="auto"/>
          <w:highlight w:val="none"/>
        </w:rPr>
        <w:t>2</w:t>
      </w:r>
      <w:r>
        <w:rPr>
          <w:color w:val="auto"/>
          <w:highlight w:val="none"/>
        </w:rPr>
        <w:t>）与本标段的招标代理机构同为一个法定代表人的；</w:t>
      </w:r>
    </w:p>
    <w:p w14:paraId="0E293CE8">
      <w:pPr>
        <w:adjustRightInd w:val="0"/>
        <w:snapToGrid w:val="0"/>
        <w:spacing w:line="430" w:lineRule="exact"/>
        <w:ind w:firstLine="718" w:firstLineChars="342"/>
        <w:rPr>
          <w:color w:val="auto"/>
          <w:highlight w:val="none"/>
        </w:rPr>
      </w:pPr>
      <w:r>
        <w:rPr>
          <w:color w:val="auto"/>
          <w:highlight w:val="none"/>
        </w:rPr>
        <w:t>（</w:t>
      </w:r>
      <w:r>
        <w:rPr>
          <w:rFonts w:hint="eastAsia"/>
          <w:color w:val="auto"/>
          <w:highlight w:val="none"/>
        </w:rPr>
        <w:t>3</w:t>
      </w:r>
      <w:r>
        <w:rPr>
          <w:color w:val="auto"/>
          <w:highlight w:val="none"/>
        </w:rPr>
        <w:t>）与本标段的招标代理机构相互控股或参股的；</w:t>
      </w:r>
    </w:p>
    <w:p w14:paraId="43D2CB49">
      <w:pPr>
        <w:adjustRightInd w:val="0"/>
        <w:snapToGrid w:val="0"/>
        <w:spacing w:line="430" w:lineRule="exact"/>
        <w:ind w:firstLine="718" w:firstLineChars="342"/>
        <w:rPr>
          <w:color w:val="auto"/>
          <w:highlight w:val="none"/>
        </w:rPr>
      </w:pPr>
      <w:r>
        <w:rPr>
          <w:color w:val="auto"/>
          <w:highlight w:val="none"/>
        </w:rPr>
        <w:t>（</w:t>
      </w:r>
      <w:r>
        <w:rPr>
          <w:rFonts w:hint="eastAsia"/>
          <w:color w:val="auto"/>
          <w:highlight w:val="none"/>
        </w:rPr>
        <w:t>4</w:t>
      </w:r>
      <w:r>
        <w:rPr>
          <w:color w:val="auto"/>
          <w:highlight w:val="none"/>
        </w:rPr>
        <w:t>）与本标段的招标代理机构相互任职或工作的；</w:t>
      </w:r>
    </w:p>
    <w:p w14:paraId="0CA7BE56">
      <w:pPr>
        <w:adjustRightInd w:val="0"/>
        <w:snapToGrid w:val="0"/>
        <w:spacing w:line="430" w:lineRule="exact"/>
        <w:ind w:firstLine="718" w:firstLineChars="342"/>
        <w:rPr>
          <w:color w:val="auto"/>
          <w:szCs w:val="24"/>
          <w:highlight w:val="none"/>
        </w:rPr>
      </w:pPr>
      <w:r>
        <w:rPr>
          <w:rFonts w:hint="eastAsia"/>
          <w:color w:val="auto"/>
          <w:szCs w:val="24"/>
          <w:highlight w:val="none"/>
        </w:rPr>
        <w:t xml:space="preserve">（5）被责令停业的； </w:t>
      </w:r>
    </w:p>
    <w:p w14:paraId="0B7B6C95">
      <w:pPr>
        <w:adjustRightInd w:val="0"/>
        <w:snapToGrid w:val="0"/>
        <w:spacing w:line="430" w:lineRule="exact"/>
        <w:ind w:firstLine="718" w:firstLineChars="342"/>
        <w:rPr>
          <w:color w:val="auto"/>
          <w:szCs w:val="24"/>
          <w:highlight w:val="none"/>
        </w:rPr>
      </w:pPr>
      <w:r>
        <w:rPr>
          <w:rFonts w:hint="eastAsia"/>
          <w:color w:val="auto"/>
          <w:szCs w:val="24"/>
          <w:highlight w:val="none"/>
        </w:rPr>
        <w:t xml:space="preserve">（6）被暂停或取消投标资格的； </w:t>
      </w:r>
    </w:p>
    <w:p w14:paraId="787E18F1">
      <w:pPr>
        <w:adjustRightInd w:val="0"/>
        <w:snapToGrid w:val="0"/>
        <w:spacing w:line="430" w:lineRule="exact"/>
        <w:ind w:firstLine="718" w:firstLineChars="342"/>
        <w:rPr>
          <w:color w:val="auto"/>
          <w:szCs w:val="24"/>
          <w:highlight w:val="none"/>
        </w:rPr>
      </w:pPr>
      <w:r>
        <w:rPr>
          <w:rFonts w:hint="eastAsia"/>
          <w:color w:val="auto"/>
          <w:szCs w:val="24"/>
          <w:highlight w:val="none"/>
        </w:rPr>
        <w:t>（7）财产被接管或冻结的；</w:t>
      </w:r>
    </w:p>
    <w:p w14:paraId="2D5BAB23">
      <w:pPr>
        <w:spacing w:line="430" w:lineRule="exact"/>
        <w:ind w:left="1348" w:leftChars="342" w:hanging="630" w:hangingChars="300"/>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szCs w:val="24"/>
          <w:highlight w:val="none"/>
        </w:rPr>
        <w:t>最近三年内</w:t>
      </w:r>
      <w:r>
        <w:rPr>
          <w:color w:val="auto"/>
          <w:highlight w:val="none"/>
        </w:rPr>
        <w:t>存在行贿受贿纪录的</w:t>
      </w:r>
      <w:r>
        <w:rPr>
          <w:rFonts w:hint="eastAsia"/>
          <w:color w:val="auto"/>
          <w:highlight w:val="none"/>
        </w:rPr>
        <w:t>；</w:t>
      </w:r>
    </w:p>
    <w:p w14:paraId="1DF50062">
      <w:pPr>
        <w:spacing w:line="430" w:lineRule="exact"/>
        <w:rPr>
          <w:b/>
          <w:color w:val="auto"/>
          <w:highlight w:val="none"/>
        </w:rPr>
      </w:pPr>
      <w:r>
        <w:rPr>
          <w:b/>
          <w:color w:val="auto"/>
          <w:szCs w:val="21"/>
          <w:highlight w:val="none"/>
        </w:rPr>
        <w:t>B1.3 投标人有下列情形之一的，属投标人相互串通投标行为或视为投标人相互串通投标行为，</w:t>
      </w:r>
      <w:r>
        <w:rPr>
          <w:b/>
          <w:color w:val="auto"/>
          <w:highlight w:val="none"/>
        </w:rPr>
        <w:t>其投标文件将按</w:t>
      </w:r>
      <w:r>
        <w:rPr>
          <w:rFonts w:hint="eastAsia"/>
          <w:b/>
          <w:color w:val="auto"/>
          <w:highlight w:val="none"/>
        </w:rPr>
        <w:t>否决投标</w:t>
      </w:r>
      <w:r>
        <w:rPr>
          <w:b/>
          <w:color w:val="auto"/>
          <w:highlight w:val="none"/>
        </w:rPr>
        <w:t>处理：</w:t>
      </w:r>
    </w:p>
    <w:p w14:paraId="58669FAD">
      <w:pPr>
        <w:adjustRightInd w:val="0"/>
        <w:spacing w:line="430" w:lineRule="exact"/>
        <w:ind w:left="420" w:leftChars="200" w:firstLine="105" w:firstLineChars="50"/>
        <w:rPr>
          <w:color w:val="auto"/>
          <w:highlight w:val="none"/>
        </w:rPr>
      </w:pPr>
      <w:r>
        <w:rPr>
          <w:color w:val="auto"/>
          <w:highlight w:val="none"/>
        </w:rPr>
        <w:t>（1）投标人之间协商投标报价等投标文件的实质性内容的；</w:t>
      </w:r>
    </w:p>
    <w:p w14:paraId="465DE970">
      <w:pPr>
        <w:adjustRightInd w:val="0"/>
        <w:spacing w:line="430" w:lineRule="exact"/>
        <w:ind w:left="420" w:leftChars="200" w:firstLine="105" w:firstLineChars="50"/>
        <w:rPr>
          <w:color w:val="auto"/>
          <w:highlight w:val="none"/>
        </w:rPr>
      </w:pPr>
      <w:r>
        <w:rPr>
          <w:color w:val="auto"/>
          <w:highlight w:val="none"/>
        </w:rPr>
        <w:t>（2）投标人之间约定中标人的；</w:t>
      </w:r>
    </w:p>
    <w:p w14:paraId="61BD6C32">
      <w:pPr>
        <w:adjustRightInd w:val="0"/>
        <w:spacing w:line="430" w:lineRule="exact"/>
        <w:ind w:left="420" w:leftChars="200" w:firstLine="105" w:firstLineChars="50"/>
        <w:rPr>
          <w:color w:val="auto"/>
          <w:highlight w:val="none"/>
        </w:rPr>
      </w:pPr>
      <w:r>
        <w:rPr>
          <w:color w:val="auto"/>
          <w:highlight w:val="none"/>
        </w:rPr>
        <w:t>（3）投标人之间约定部分投标人放弃投标或者中标的；</w:t>
      </w:r>
    </w:p>
    <w:p w14:paraId="3385EF8C">
      <w:pPr>
        <w:adjustRightInd w:val="0"/>
        <w:spacing w:line="430" w:lineRule="exact"/>
        <w:ind w:left="420" w:leftChars="200" w:firstLine="105" w:firstLineChars="50"/>
        <w:rPr>
          <w:color w:val="auto"/>
          <w:highlight w:val="none"/>
        </w:rPr>
      </w:pPr>
      <w:r>
        <w:rPr>
          <w:color w:val="auto"/>
          <w:highlight w:val="none"/>
        </w:rPr>
        <w:t>（4）属于同一集团、协会、商会等组织成员的投标人按照该组织要求协同投标的；</w:t>
      </w:r>
    </w:p>
    <w:p w14:paraId="40A18EFE">
      <w:pPr>
        <w:adjustRightInd w:val="0"/>
        <w:spacing w:line="430" w:lineRule="exact"/>
        <w:ind w:left="420" w:leftChars="200" w:firstLine="105" w:firstLineChars="50"/>
        <w:rPr>
          <w:color w:val="auto"/>
          <w:highlight w:val="none"/>
        </w:rPr>
      </w:pPr>
      <w:r>
        <w:rPr>
          <w:color w:val="auto"/>
          <w:highlight w:val="none"/>
        </w:rPr>
        <w:t>（5）不同投标人委托同一单位或者个人办理投标事宜的；</w:t>
      </w:r>
    </w:p>
    <w:p w14:paraId="39ED02CB">
      <w:pPr>
        <w:adjustRightInd w:val="0"/>
        <w:spacing w:line="430" w:lineRule="exact"/>
        <w:ind w:left="420" w:leftChars="200" w:firstLine="105" w:firstLineChars="50"/>
        <w:rPr>
          <w:color w:val="auto"/>
          <w:highlight w:val="none"/>
        </w:rPr>
      </w:pPr>
      <w:r>
        <w:rPr>
          <w:color w:val="auto"/>
          <w:highlight w:val="none"/>
        </w:rPr>
        <w:t>（6）不同投标人的投标文件载明的项目管理成员为同一人的；</w:t>
      </w:r>
    </w:p>
    <w:p w14:paraId="413B6A55">
      <w:pPr>
        <w:adjustRightInd w:val="0"/>
        <w:spacing w:line="430" w:lineRule="exact"/>
        <w:ind w:left="420" w:leftChars="200" w:firstLine="105" w:firstLineChars="50"/>
        <w:rPr>
          <w:color w:val="auto"/>
          <w:highlight w:val="none"/>
        </w:rPr>
      </w:pPr>
      <w:r>
        <w:rPr>
          <w:color w:val="auto"/>
          <w:highlight w:val="none"/>
        </w:rPr>
        <w:t>（7）不同投标人的投标文件异常一致或者投标报价呈规律性差异的；</w:t>
      </w:r>
    </w:p>
    <w:p w14:paraId="4C610AD8">
      <w:pPr>
        <w:adjustRightInd w:val="0"/>
        <w:spacing w:line="430" w:lineRule="exact"/>
        <w:ind w:left="420" w:leftChars="200" w:firstLine="105" w:firstLineChars="50"/>
        <w:rPr>
          <w:color w:val="auto"/>
          <w:highlight w:val="none"/>
        </w:rPr>
      </w:pPr>
      <w:r>
        <w:rPr>
          <w:color w:val="auto"/>
          <w:highlight w:val="none"/>
        </w:rPr>
        <w:t>（8）不同投标人的投标文件相互混装的；</w:t>
      </w:r>
    </w:p>
    <w:p w14:paraId="710FF375">
      <w:pPr>
        <w:adjustRightInd w:val="0"/>
        <w:spacing w:line="430" w:lineRule="exact"/>
        <w:ind w:left="420" w:leftChars="200" w:firstLine="105" w:firstLineChars="50"/>
        <w:rPr>
          <w:color w:val="auto"/>
          <w:highlight w:val="none"/>
        </w:rPr>
      </w:pPr>
      <w:r>
        <w:rPr>
          <w:color w:val="auto"/>
          <w:highlight w:val="none"/>
        </w:rPr>
        <w:t>（9）不同投标人的投标保证金从同一单位或者个人的账户转出的；</w:t>
      </w:r>
    </w:p>
    <w:p w14:paraId="74655946">
      <w:pPr>
        <w:adjustRightInd w:val="0"/>
        <w:spacing w:line="430" w:lineRule="exact"/>
        <w:ind w:firstLine="420" w:firstLineChars="200"/>
        <w:rPr>
          <w:color w:val="auto"/>
          <w:highlight w:val="none"/>
        </w:rPr>
      </w:pPr>
      <w:r>
        <w:rPr>
          <w:color w:val="auto"/>
          <w:highlight w:val="none"/>
        </w:rPr>
        <w:t>（10）不同投标人采取联合行动或者不正当竞争手段排挤其他投标人的；</w:t>
      </w:r>
    </w:p>
    <w:p w14:paraId="2A333B62">
      <w:pPr>
        <w:adjustRightInd w:val="0"/>
        <w:spacing w:line="430" w:lineRule="exact"/>
        <w:ind w:left="1050" w:leftChars="200" w:hanging="630" w:hangingChars="300"/>
        <w:rPr>
          <w:color w:val="auto"/>
          <w:highlight w:val="none"/>
        </w:rPr>
      </w:pPr>
      <w:r>
        <w:rPr>
          <w:color w:val="auto"/>
          <w:highlight w:val="none"/>
        </w:rPr>
        <w:t>（</w:t>
      </w:r>
      <w:r>
        <w:rPr>
          <w:rFonts w:hint="eastAsia"/>
          <w:color w:val="auto"/>
          <w:highlight w:val="none"/>
        </w:rPr>
        <w:t>11</w:t>
      </w:r>
      <w:r>
        <w:rPr>
          <w:color w:val="auto"/>
          <w:highlight w:val="none"/>
        </w:rPr>
        <w:t>）不同投标人的投标文件中法定代表人签署人、授权代表人签署人、项目</w:t>
      </w:r>
      <w:r>
        <w:rPr>
          <w:rFonts w:hint="eastAsia"/>
          <w:color w:val="auto"/>
          <w:highlight w:val="none"/>
        </w:rPr>
        <w:t>负责人</w:t>
      </w:r>
      <w:r>
        <w:rPr>
          <w:color w:val="auto"/>
          <w:highlight w:val="none"/>
        </w:rPr>
        <w:t>签署人为同一人或同一单位人员</w:t>
      </w:r>
      <w:r>
        <w:rPr>
          <w:rFonts w:hint="eastAsia"/>
          <w:color w:val="auto"/>
          <w:highlight w:val="none"/>
        </w:rPr>
        <w:t>或与投标人为相关利害关系人</w:t>
      </w:r>
      <w:r>
        <w:rPr>
          <w:color w:val="auto"/>
          <w:highlight w:val="none"/>
        </w:rPr>
        <w:t>的；</w:t>
      </w:r>
    </w:p>
    <w:p w14:paraId="71E5A808">
      <w:pPr>
        <w:adjustRightInd w:val="0"/>
        <w:spacing w:line="430" w:lineRule="exact"/>
        <w:ind w:left="1077" w:leftChars="213" w:hanging="630" w:hangingChars="300"/>
        <w:rPr>
          <w:color w:val="auto"/>
          <w:highlight w:val="none"/>
        </w:rPr>
      </w:pPr>
      <w:r>
        <w:rPr>
          <w:color w:val="auto"/>
          <w:highlight w:val="none"/>
        </w:rPr>
        <w:t>（1</w:t>
      </w:r>
      <w:r>
        <w:rPr>
          <w:rFonts w:hint="eastAsia"/>
          <w:color w:val="auto"/>
          <w:highlight w:val="none"/>
        </w:rPr>
        <w:t>2</w:t>
      </w:r>
      <w:r>
        <w:rPr>
          <w:color w:val="auto"/>
          <w:highlight w:val="none"/>
        </w:rPr>
        <w:t>）投标人之间</w:t>
      </w:r>
      <w:r>
        <w:rPr>
          <w:rFonts w:hint="eastAsia"/>
          <w:color w:val="auto"/>
          <w:highlight w:val="none"/>
        </w:rPr>
        <w:t>涉嫌</w:t>
      </w:r>
      <w:r>
        <w:rPr>
          <w:color w:val="auto"/>
          <w:highlight w:val="none"/>
        </w:rPr>
        <w:t>其他串通投标报价的行为</w:t>
      </w:r>
      <w:r>
        <w:rPr>
          <w:rFonts w:hint="eastAsia"/>
          <w:color w:val="auto"/>
          <w:highlight w:val="none"/>
        </w:rPr>
        <w:t>，由评标委员会进行核查后，经集体表决，按照少数服从多数的原则，认定为串通投标行为的</w:t>
      </w:r>
      <w:r>
        <w:rPr>
          <w:color w:val="auto"/>
          <w:highlight w:val="none"/>
        </w:rPr>
        <w:t>。</w:t>
      </w:r>
    </w:p>
    <w:p w14:paraId="7944E40D">
      <w:pPr>
        <w:spacing w:line="430" w:lineRule="exact"/>
        <w:rPr>
          <w:b/>
          <w:color w:val="auto"/>
          <w:highlight w:val="none"/>
        </w:rPr>
      </w:pPr>
      <w:r>
        <w:rPr>
          <w:b/>
          <w:color w:val="auto"/>
          <w:highlight w:val="none"/>
        </w:rPr>
        <w:t>B1.4 投标人有下列情形之一的，属于投标人与招标人串通投标，其投标文件将按</w:t>
      </w:r>
      <w:r>
        <w:rPr>
          <w:rFonts w:hint="eastAsia"/>
          <w:b/>
          <w:color w:val="auto"/>
          <w:highlight w:val="none"/>
        </w:rPr>
        <w:t>否决投标</w:t>
      </w:r>
      <w:r>
        <w:rPr>
          <w:b/>
          <w:color w:val="auto"/>
          <w:highlight w:val="none"/>
        </w:rPr>
        <w:t>处理：</w:t>
      </w:r>
    </w:p>
    <w:p w14:paraId="5CD76004">
      <w:pPr>
        <w:spacing w:line="430" w:lineRule="exact"/>
        <w:ind w:firstLine="420" w:firstLineChars="200"/>
        <w:rPr>
          <w:color w:val="auto"/>
          <w:highlight w:val="none"/>
        </w:rPr>
      </w:pPr>
      <w:r>
        <w:rPr>
          <w:color w:val="auto"/>
          <w:highlight w:val="none"/>
        </w:rPr>
        <w:t>（1）招标人在开标前开启投标文件并将有关信息泄露给其他投标人；</w:t>
      </w:r>
    </w:p>
    <w:p w14:paraId="2AA1EE2E">
      <w:pPr>
        <w:spacing w:line="430" w:lineRule="exact"/>
        <w:ind w:firstLine="420" w:firstLineChars="200"/>
        <w:rPr>
          <w:color w:val="auto"/>
          <w:highlight w:val="none"/>
        </w:rPr>
      </w:pPr>
      <w:r>
        <w:rPr>
          <w:color w:val="auto"/>
          <w:highlight w:val="none"/>
        </w:rPr>
        <w:t>（2）招标人直接或者间接向投标人泄露标底、评标委员会成员等信息；</w:t>
      </w:r>
    </w:p>
    <w:p w14:paraId="3F21F066">
      <w:pPr>
        <w:spacing w:line="430" w:lineRule="exact"/>
        <w:ind w:firstLine="420" w:firstLineChars="200"/>
        <w:rPr>
          <w:color w:val="auto"/>
          <w:highlight w:val="none"/>
        </w:rPr>
      </w:pPr>
      <w:r>
        <w:rPr>
          <w:color w:val="auto"/>
          <w:highlight w:val="none"/>
        </w:rPr>
        <w:t>（3）招标人明示或者暗示投标人压低或者抬高投标报价；</w:t>
      </w:r>
    </w:p>
    <w:p w14:paraId="1E4A3198">
      <w:pPr>
        <w:spacing w:line="430" w:lineRule="exact"/>
        <w:ind w:firstLine="420" w:firstLineChars="200"/>
        <w:rPr>
          <w:color w:val="auto"/>
          <w:highlight w:val="none"/>
        </w:rPr>
      </w:pPr>
      <w:r>
        <w:rPr>
          <w:color w:val="auto"/>
          <w:highlight w:val="none"/>
        </w:rPr>
        <w:t>（4）招标人授意投标人撤换、修改投标文件；</w:t>
      </w:r>
    </w:p>
    <w:p w14:paraId="022782CD">
      <w:pPr>
        <w:spacing w:line="430" w:lineRule="exact"/>
        <w:ind w:firstLine="420" w:firstLineChars="200"/>
        <w:rPr>
          <w:color w:val="auto"/>
          <w:highlight w:val="none"/>
        </w:rPr>
      </w:pPr>
      <w:r>
        <w:rPr>
          <w:color w:val="auto"/>
          <w:highlight w:val="none"/>
        </w:rPr>
        <w:t>（5）招标人明示或者暗示投标人为特定投标人中标提供方便；</w:t>
      </w:r>
    </w:p>
    <w:p w14:paraId="333976D8">
      <w:pPr>
        <w:spacing w:line="430" w:lineRule="exact"/>
        <w:ind w:firstLine="420" w:firstLineChars="200"/>
        <w:rPr>
          <w:color w:val="auto"/>
          <w:highlight w:val="none"/>
        </w:rPr>
      </w:pPr>
      <w:r>
        <w:rPr>
          <w:color w:val="auto"/>
          <w:highlight w:val="none"/>
        </w:rPr>
        <w:t>（6）招标人与投标人为谋求特定投标人中标而采取的其他串通行为。</w:t>
      </w:r>
    </w:p>
    <w:p w14:paraId="410758A8">
      <w:pPr>
        <w:spacing w:line="430" w:lineRule="exact"/>
        <w:ind w:left="569" w:leftChars="26" w:hanging="514"/>
        <w:rPr>
          <w:color w:val="auto"/>
          <w:highlight w:val="none"/>
        </w:rPr>
      </w:pPr>
      <w:r>
        <w:rPr>
          <w:b/>
          <w:color w:val="auto"/>
          <w:highlight w:val="none"/>
        </w:rPr>
        <w:t xml:space="preserve">B1.5 </w:t>
      </w:r>
      <w:r>
        <w:rPr>
          <w:color w:val="auto"/>
          <w:highlight w:val="none"/>
        </w:rPr>
        <w:t>投标人使用通过受让或者租借等方式获取的资格、资质证书投标的，或者由其他单位及其法定代表人在</w:t>
      </w:r>
      <w:r>
        <w:rPr>
          <w:rFonts w:hint="eastAsia"/>
          <w:color w:val="auto"/>
          <w:highlight w:val="none"/>
        </w:rPr>
        <w:t>其编制的</w:t>
      </w:r>
      <w:r>
        <w:rPr>
          <w:color w:val="auto"/>
          <w:highlight w:val="none"/>
        </w:rPr>
        <w:t>投标文件上加盖印章和签字的，属于投标人以他人名义投标，其投标文件按</w:t>
      </w:r>
      <w:r>
        <w:rPr>
          <w:rFonts w:hint="eastAsia"/>
          <w:b/>
          <w:color w:val="auto"/>
          <w:highlight w:val="none"/>
        </w:rPr>
        <w:t>否决投标</w:t>
      </w:r>
      <w:r>
        <w:rPr>
          <w:color w:val="auto"/>
          <w:highlight w:val="none"/>
        </w:rPr>
        <w:t>处理。</w:t>
      </w:r>
    </w:p>
    <w:p w14:paraId="612E258D">
      <w:pPr>
        <w:spacing w:line="430" w:lineRule="exact"/>
        <w:rPr>
          <w:b/>
          <w:color w:val="auto"/>
          <w:highlight w:val="none"/>
        </w:rPr>
      </w:pPr>
      <w:r>
        <w:rPr>
          <w:b/>
          <w:color w:val="auto"/>
          <w:highlight w:val="none"/>
        </w:rPr>
        <w:t>B1.6投标人有下列情形之一的，属投标人以其他方式弄虚作假行为，其投标文件将按</w:t>
      </w:r>
      <w:r>
        <w:rPr>
          <w:rFonts w:hint="eastAsia"/>
          <w:b/>
          <w:color w:val="auto"/>
          <w:highlight w:val="none"/>
        </w:rPr>
        <w:t>否决投标</w:t>
      </w:r>
      <w:r>
        <w:rPr>
          <w:b/>
          <w:color w:val="auto"/>
          <w:highlight w:val="none"/>
        </w:rPr>
        <w:t>处理：</w:t>
      </w:r>
    </w:p>
    <w:p w14:paraId="0A3F0B87">
      <w:pPr>
        <w:spacing w:line="430" w:lineRule="exact"/>
        <w:ind w:firstLine="420" w:firstLineChars="200"/>
        <w:rPr>
          <w:color w:val="auto"/>
          <w:highlight w:val="none"/>
        </w:rPr>
      </w:pPr>
      <w:r>
        <w:rPr>
          <w:color w:val="auto"/>
          <w:highlight w:val="none"/>
        </w:rPr>
        <w:t>（1）使用伪造、变造的许可证件；</w:t>
      </w:r>
    </w:p>
    <w:p w14:paraId="0B711478">
      <w:pPr>
        <w:spacing w:line="430" w:lineRule="exact"/>
        <w:ind w:firstLine="420" w:firstLineChars="200"/>
        <w:rPr>
          <w:color w:val="auto"/>
          <w:highlight w:val="none"/>
        </w:rPr>
      </w:pPr>
      <w:r>
        <w:rPr>
          <w:color w:val="auto"/>
          <w:highlight w:val="none"/>
        </w:rPr>
        <w:t>（2）提供虚假的财务状况、业绩；</w:t>
      </w:r>
    </w:p>
    <w:p w14:paraId="003CA63C">
      <w:pPr>
        <w:spacing w:line="430" w:lineRule="exact"/>
        <w:ind w:firstLine="420" w:firstLineChars="200"/>
        <w:rPr>
          <w:color w:val="auto"/>
          <w:highlight w:val="none"/>
        </w:rPr>
      </w:pPr>
      <w:r>
        <w:rPr>
          <w:color w:val="auto"/>
          <w:highlight w:val="none"/>
        </w:rPr>
        <w:t>（3）提供虚假的项目负责人或者主要技术人员简历、劳动关系证明、养老保险缴费凭据；</w:t>
      </w:r>
    </w:p>
    <w:p w14:paraId="5C3E11DF">
      <w:pPr>
        <w:spacing w:line="430" w:lineRule="exact"/>
        <w:ind w:firstLine="420" w:firstLineChars="200"/>
        <w:rPr>
          <w:color w:val="auto"/>
          <w:highlight w:val="none"/>
        </w:rPr>
      </w:pPr>
      <w:r>
        <w:rPr>
          <w:color w:val="auto"/>
          <w:highlight w:val="none"/>
        </w:rPr>
        <w:t>（4）提供虚假的信用状况；</w:t>
      </w:r>
    </w:p>
    <w:p w14:paraId="1104B24E">
      <w:pPr>
        <w:spacing w:line="430" w:lineRule="exact"/>
        <w:ind w:firstLine="420" w:firstLineChars="200"/>
        <w:rPr>
          <w:color w:val="auto"/>
          <w:highlight w:val="none"/>
        </w:rPr>
      </w:pPr>
      <w:r>
        <w:rPr>
          <w:color w:val="auto"/>
          <w:highlight w:val="none"/>
        </w:rPr>
        <w:t>（5）使用其他单位人员或者违反规定使用在建项目的项目负责人的；</w:t>
      </w:r>
    </w:p>
    <w:p w14:paraId="4C00FD37">
      <w:pPr>
        <w:spacing w:line="430" w:lineRule="exact"/>
        <w:ind w:firstLine="420" w:firstLineChars="200"/>
        <w:rPr>
          <w:color w:val="auto"/>
          <w:highlight w:val="none"/>
        </w:rPr>
      </w:pPr>
      <w:r>
        <w:rPr>
          <w:color w:val="auto"/>
          <w:highlight w:val="none"/>
        </w:rPr>
        <w:t>（6）其他弄虚作假的行为。</w:t>
      </w:r>
    </w:p>
    <w:p w14:paraId="0CA5D93F">
      <w:pPr>
        <w:spacing w:line="430" w:lineRule="exact"/>
        <w:rPr>
          <w:color w:val="auto"/>
          <w:highlight w:val="none"/>
        </w:rPr>
      </w:pPr>
      <w:r>
        <w:rPr>
          <w:b/>
          <w:color w:val="auto"/>
          <w:highlight w:val="none"/>
        </w:rPr>
        <w:t>B1.7投标人有下列情形之一的属投标人投标过程中的违法违规行为，其投标文件将按</w:t>
      </w:r>
      <w:r>
        <w:rPr>
          <w:rFonts w:hint="eastAsia"/>
          <w:b/>
          <w:color w:val="auto"/>
          <w:highlight w:val="none"/>
        </w:rPr>
        <w:t>否决投标</w:t>
      </w:r>
      <w:r>
        <w:rPr>
          <w:b/>
          <w:color w:val="auto"/>
          <w:highlight w:val="none"/>
        </w:rPr>
        <w:t>处理</w:t>
      </w:r>
      <w:r>
        <w:rPr>
          <w:color w:val="auto"/>
          <w:highlight w:val="none"/>
        </w:rPr>
        <w:t>：</w:t>
      </w:r>
    </w:p>
    <w:p w14:paraId="3D49AB70">
      <w:pPr>
        <w:spacing w:line="430" w:lineRule="exact"/>
        <w:ind w:firstLine="420" w:firstLineChars="200"/>
        <w:rPr>
          <w:color w:val="auto"/>
          <w:highlight w:val="none"/>
        </w:rPr>
      </w:pPr>
      <w:r>
        <w:rPr>
          <w:color w:val="auto"/>
          <w:highlight w:val="none"/>
        </w:rPr>
        <w:t xml:space="preserve"> （1）冒用他人居民身份证或者使用骗领的居民身份证参与投标的；</w:t>
      </w:r>
    </w:p>
    <w:p w14:paraId="09384858">
      <w:pPr>
        <w:spacing w:line="430" w:lineRule="exact"/>
        <w:ind w:firstLine="420" w:firstLineChars="200"/>
        <w:rPr>
          <w:color w:val="auto"/>
          <w:highlight w:val="none"/>
        </w:rPr>
      </w:pPr>
      <w:r>
        <w:rPr>
          <w:color w:val="auto"/>
          <w:highlight w:val="none"/>
        </w:rPr>
        <w:t xml:space="preserve"> （2）使用伪造、变造的居民身份证参与投标的；</w:t>
      </w:r>
    </w:p>
    <w:p w14:paraId="12979F58">
      <w:pPr>
        <w:spacing w:line="430" w:lineRule="exact"/>
        <w:ind w:firstLine="420" w:firstLineChars="200"/>
        <w:rPr>
          <w:color w:val="auto"/>
          <w:highlight w:val="none"/>
        </w:rPr>
      </w:pPr>
      <w:r>
        <w:rPr>
          <w:color w:val="auto"/>
          <w:highlight w:val="none"/>
        </w:rPr>
        <w:t xml:space="preserve"> （3）冒用他人印章或代替他人签字的；</w:t>
      </w:r>
    </w:p>
    <w:p w14:paraId="4363F4BB">
      <w:pPr>
        <w:spacing w:line="430" w:lineRule="exact"/>
        <w:ind w:firstLine="420" w:firstLineChars="200"/>
        <w:rPr>
          <w:color w:val="auto"/>
          <w:highlight w:val="none"/>
        </w:rPr>
      </w:pPr>
      <w:r>
        <w:rPr>
          <w:color w:val="auto"/>
          <w:highlight w:val="none"/>
        </w:rPr>
        <w:t xml:space="preserve"> （4）使用伪造、变造的他人印章参与投标活动的；</w:t>
      </w:r>
    </w:p>
    <w:p w14:paraId="226553E0">
      <w:pPr>
        <w:spacing w:line="430" w:lineRule="exact"/>
        <w:ind w:firstLine="420" w:firstLineChars="200"/>
        <w:rPr>
          <w:color w:val="auto"/>
          <w:highlight w:val="none"/>
        </w:rPr>
      </w:pPr>
      <w:r>
        <w:rPr>
          <w:color w:val="auto"/>
          <w:highlight w:val="none"/>
        </w:rPr>
        <w:t xml:space="preserve"> （5）投标人投标过程中存在其他的违法违规行为的。</w:t>
      </w:r>
    </w:p>
    <w:p w14:paraId="1BA1E8D4">
      <w:pPr>
        <w:spacing w:line="430" w:lineRule="exact"/>
        <w:ind w:left="422" w:hanging="422" w:hangingChars="200"/>
        <w:rPr>
          <w:color w:val="auto"/>
          <w:highlight w:val="none"/>
        </w:rPr>
      </w:pPr>
      <w:r>
        <w:rPr>
          <w:b/>
          <w:color w:val="auto"/>
          <w:highlight w:val="none"/>
        </w:rPr>
        <w:t>B1.8</w:t>
      </w:r>
      <w:r>
        <w:rPr>
          <w:color w:val="auto"/>
          <w:highlight w:val="none"/>
        </w:rPr>
        <w:t>投标人不按评标委员会要求澄清、说明或补正的，或无正当理由，拒不接受评标委员会的修正结果的；</w:t>
      </w:r>
    </w:p>
    <w:p w14:paraId="5D76D1C6">
      <w:pPr>
        <w:spacing w:line="430" w:lineRule="exact"/>
        <w:ind w:left="514" w:hanging="514"/>
        <w:rPr>
          <w:color w:val="auto"/>
          <w:highlight w:val="none"/>
        </w:rPr>
      </w:pPr>
      <w:r>
        <w:rPr>
          <w:b/>
          <w:color w:val="auto"/>
          <w:highlight w:val="none"/>
        </w:rPr>
        <w:t>B1.9</w:t>
      </w:r>
      <w:r>
        <w:rPr>
          <w:color w:val="auto"/>
          <w:highlight w:val="none"/>
        </w:rPr>
        <w:t>在形式评审、响应性评审、资格评审中，评标委员会认定投标人的投标文件不符合评标办法前附表中规定的任何一项评审标准的；</w:t>
      </w:r>
    </w:p>
    <w:p w14:paraId="3CB668DB">
      <w:pPr>
        <w:spacing w:line="430" w:lineRule="exact"/>
        <w:ind w:left="527" w:hanging="527" w:hangingChars="250"/>
        <w:rPr>
          <w:color w:val="auto"/>
          <w:highlight w:val="none"/>
        </w:rPr>
      </w:pPr>
      <w:r>
        <w:rPr>
          <w:b/>
          <w:color w:val="auto"/>
          <w:highlight w:val="none"/>
        </w:rPr>
        <w:t xml:space="preserve">B1.10 </w:t>
      </w:r>
      <w:r>
        <w:rPr>
          <w:color w:val="auto"/>
          <w:highlight w:val="none"/>
        </w:rPr>
        <w:t>投标人投标函中的承诺内容不完整或表述错误；</w:t>
      </w:r>
    </w:p>
    <w:p w14:paraId="33C04794">
      <w:pPr>
        <w:spacing w:line="430" w:lineRule="exact"/>
        <w:rPr>
          <w:color w:val="auto"/>
          <w:highlight w:val="none"/>
        </w:rPr>
      </w:pPr>
      <w:r>
        <w:rPr>
          <w:b/>
          <w:color w:val="auto"/>
          <w:highlight w:val="none"/>
        </w:rPr>
        <w:t>B1.1</w:t>
      </w:r>
      <w:r>
        <w:rPr>
          <w:rFonts w:hint="eastAsia"/>
          <w:b/>
          <w:color w:val="auto"/>
          <w:highlight w:val="none"/>
        </w:rPr>
        <w:t>1</w:t>
      </w:r>
      <w:r>
        <w:rPr>
          <w:color w:val="auto"/>
          <w:highlight w:val="none"/>
        </w:rPr>
        <w:t>在</w:t>
      </w:r>
      <w:r>
        <w:rPr>
          <w:rFonts w:hint="eastAsia"/>
          <w:color w:val="auto"/>
          <w:highlight w:val="none"/>
        </w:rPr>
        <w:t>技术部分</w:t>
      </w:r>
      <w:r>
        <w:rPr>
          <w:color w:val="auto"/>
          <w:highlight w:val="none"/>
        </w:rPr>
        <w:t>和项目管理机构评审中，评标委员会认定投标人的投标未能通过此项评审的；</w:t>
      </w:r>
    </w:p>
    <w:p w14:paraId="320CC68A">
      <w:pPr>
        <w:spacing w:line="430" w:lineRule="exact"/>
        <w:rPr>
          <w:color w:val="auto"/>
          <w:highlight w:val="none"/>
        </w:rPr>
      </w:pPr>
      <w:r>
        <w:rPr>
          <w:b/>
          <w:color w:val="auto"/>
          <w:highlight w:val="none"/>
        </w:rPr>
        <w:t>B1.12</w:t>
      </w:r>
      <w:r>
        <w:rPr>
          <w:color w:val="auto"/>
          <w:highlight w:val="none"/>
        </w:rPr>
        <w:t>投标人未按第二章“投标人须知前附表”规定出席开标会或身份证明材料不完整的；</w:t>
      </w:r>
    </w:p>
    <w:p w14:paraId="5640CAE5">
      <w:pPr>
        <w:spacing w:line="430" w:lineRule="exact"/>
        <w:rPr>
          <w:color w:val="auto"/>
          <w:highlight w:val="none"/>
        </w:rPr>
      </w:pPr>
      <w:r>
        <w:rPr>
          <w:b/>
          <w:color w:val="auto"/>
          <w:highlight w:val="none"/>
        </w:rPr>
        <w:t>B1.13</w:t>
      </w:r>
      <w:r>
        <w:rPr>
          <w:color w:val="auto"/>
          <w:highlight w:val="none"/>
        </w:rPr>
        <w:t>投标文件逾期送达的或者未送达指定地点的。</w:t>
      </w:r>
    </w:p>
    <w:p w14:paraId="3C355AB2">
      <w:pPr>
        <w:spacing w:line="430" w:lineRule="exact"/>
        <w:ind w:left="632" w:hanging="632" w:hangingChars="300"/>
        <w:rPr>
          <w:color w:val="auto"/>
          <w:highlight w:val="none"/>
        </w:rPr>
      </w:pPr>
      <w:r>
        <w:rPr>
          <w:b/>
          <w:color w:val="auto"/>
          <w:highlight w:val="none"/>
        </w:rPr>
        <w:t>B1.14</w:t>
      </w:r>
      <w:r>
        <w:rPr>
          <w:color w:val="auto"/>
          <w:highlight w:val="none"/>
        </w:rPr>
        <w:t>投标文件的相关内容未按招标文件给定的格式填写，内容、附件不全或者关键内容</w:t>
      </w:r>
      <w:r>
        <w:rPr>
          <w:rFonts w:hint="eastAsia"/>
          <w:color w:val="auto"/>
          <w:highlight w:val="none"/>
        </w:rPr>
        <w:t>缺失、</w:t>
      </w:r>
      <w:r>
        <w:rPr>
          <w:color w:val="auto"/>
          <w:highlight w:val="none"/>
        </w:rPr>
        <w:t>字迹模糊、无法辨认，造成投标文件实质上不响应招标文件的要求或者导致无法对投标文件的实质性内容进行评审的；</w:t>
      </w:r>
    </w:p>
    <w:p w14:paraId="7F2D98A5">
      <w:pPr>
        <w:tabs>
          <w:tab w:val="left" w:pos="0"/>
          <w:tab w:val="left" w:pos="900"/>
        </w:tabs>
        <w:adjustRightInd w:val="0"/>
        <w:snapToGrid w:val="0"/>
        <w:spacing w:line="430" w:lineRule="exact"/>
        <w:ind w:left="723" w:hanging="723" w:hangingChars="343"/>
        <w:rPr>
          <w:color w:val="auto"/>
          <w:szCs w:val="21"/>
          <w:highlight w:val="none"/>
        </w:rPr>
      </w:pPr>
      <w:r>
        <w:rPr>
          <w:b/>
          <w:bCs/>
          <w:color w:val="auto"/>
          <w:szCs w:val="21"/>
          <w:highlight w:val="none"/>
        </w:rPr>
        <w:t>B1.</w:t>
      </w:r>
      <w:r>
        <w:rPr>
          <w:rFonts w:hint="eastAsia"/>
          <w:b/>
          <w:bCs/>
          <w:color w:val="auto"/>
          <w:szCs w:val="21"/>
          <w:highlight w:val="none"/>
        </w:rPr>
        <w:t>1</w:t>
      </w:r>
      <w:r>
        <w:rPr>
          <w:b/>
          <w:bCs/>
          <w:color w:val="auto"/>
          <w:szCs w:val="21"/>
          <w:highlight w:val="none"/>
        </w:rPr>
        <w:t>5</w:t>
      </w:r>
      <w:r>
        <w:rPr>
          <w:color w:val="auto"/>
          <w:szCs w:val="21"/>
          <w:highlight w:val="none"/>
        </w:rPr>
        <w:t>投标人递交两份或多份内容不同的投标文件，或在一份投标文件中对同一招标项目报有两个或多个报价，且未声明哪一个有效的；</w:t>
      </w:r>
    </w:p>
    <w:p w14:paraId="358CDE77">
      <w:pPr>
        <w:tabs>
          <w:tab w:val="left" w:pos="0"/>
          <w:tab w:val="left" w:pos="900"/>
        </w:tabs>
        <w:adjustRightInd w:val="0"/>
        <w:snapToGrid w:val="0"/>
        <w:spacing w:line="430" w:lineRule="exact"/>
        <w:rPr>
          <w:color w:val="auto"/>
          <w:szCs w:val="21"/>
          <w:highlight w:val="none"/>
        </w:rPr>
      </w:pPr>
      <w:r>
        <w:rPr>
          <w:b/>
          <w:color w:val="auto"/>
          <w:szCs w:val="21"/>
          <w:highlight w:val="none"/>
        </w:rPr>
        <w:t>B1.16</w:t>
      </w:r>
      <w:r>
        <w:rPr>
          <w:color w:val="auto"/>
          <w:szCs w:val="21"/>
          <w:highlight w:val="none"/>
        </w:rPr>
        <w:t>投标人的投标报价超出（不含等于）本项目最高投标限价的；</w:t>
      </w:r>
    </w:p>
    <w:p w14:paraId="7C6EFB78">
      <w:pPr>
        <w:tabs>
          <w:tab w:val="left" w:pos="0"/>
          <w:tab w:val="left" w:pos="900"/>
          <w:tab w:val="left" w:pos="1080"/>
        </w:tabs>
        <w:adjustRightInd w:val="0"/>
        <w:snapToGrid w:val="0"/>
        <w:spacing w:line="430" w:lineRule="exact"/>
        <w:rPr>
          <w:color w:val="auto"/>
          <w:szCs w:val="21"/>
          <w:highlight w:val="none"/>
        </w:rPr>
      </w:pPr>
      <w:r>
        <w:rPr>
          <w:b/>
          <w:color w:val="auto"/>
          <w:szCs w:val="21"/>
          <w:highlight w:val="none"/>
        </w:rPr>
        <w:t>B1.17</w:t>
      </w:r>
      <w:r>
        <w:rPr>
          <w:color w:val="auto"/>
          <w:szCs w:val="21"/>
          <w:highlight w:val="none"/>
        </w:rPr>
        <w:t>经评标专家修正后的投标报价超出原报价5％的；</w:t>
      </w:r>
    </w:p>
    <w:p w14:paraId="3CEE35B5">
      <w:pPr>
        <w:tabs>
          <w:tab w:val="left" w:pos="0"/>
          <w:tab w:val="left" w:pos="900"/>
          <w:tab w:val="left" w:pos="1080"/>
        </w:tabs>
        <w:adjustRightInd w:val="0"/>
        <w:snapToGrid w:val="0"/>
        <w:spacing w:line="430" w:lineRule="exact"/>
        <w:rPr>
          <w:color w:val="auto"/>
          <w:szCs w:val="21"/>
          <w:highlight w:val="none"/>
        </w:rPr>
      </w:pPr>
      <w:r>
        <w:rPr>
          <w:b/>
          <w:color w:val="auto"/>
          <w:szCs w:val="21"/>
          <w:highlight w:val="none"/>
        </w:rPr>
        <w:t>B1.18</w:t>
      </w:r>
      <w:r>
        <w:rPr>
          <w:color w:val="auto"/>
          <w:szCs w:val="21"/>
          <w:highlight w:val="none"/>
        </w:rPr>
        <w:t>投标文件载明的招标项目完成期限超过招标文件规定的期限；</w:t>
      </w:r>
    </w:p>
    <w:p w14:paraId="7421B710">
      <w:pPr>
        <w:tabs>
          <w:tab w:val="left" w:pos="0"/>
          <w:tab w:val="left" w:pos="900"/>
          <w:tab w:val="left" w:pos="1080"/>
        </w:tabs>
        <w:adjustRightInd w:val="0"/>
        <w:snapToGrid w:val="0"/>
        <w:spacing w:line="430" w:lineRule="exact"/>
        <w:rPr>
          <w:color w:val="auto"/>
          <w:szCs w:val="21"/>
          <w:highlight w:val="none"/>
        </w:rPr>
      </w:pPr>
      <w:r>
        <w:rPr>
          <w:b/>
          <w:color w:val="auto"/>
          <w:szCs w:val="21"/>
          <w:highlight w:val="none"/>
        </w:rPr>
        <w:t>B1.19</w:t>
      </w:r>
      <w:r>
        <w:rPr>
          <w:color w:val="auto"/>
          <w:szCs w:val="21"/>
          <w:highlight w:val="none"/>
        </w:rPr>
        <w:t>投标文件载明的招标项目的质量标准达不到招标文件规定的质量标准的；</w:t>
      </w:r>
    </w:p>
    <w:p w14:paraId="15A99CE9">
      <w:pPr>
        <w:tabs>
          <w:tab w:val="left" w:pos="0"/>
          <w:tab w:val="left" w:pos="900"/>
          <w:tab w:val="left" w:pos="1080"/>
        </w:tabs>
        <w:adjustRightInd w:val="0"/>
        <w:snapToGrid w:val="0"/>
        <w:spacing w:line="430" w:lineRule="exact"/>
        <w:rPr>
          <w:color w:val="auto"/>
          <w:szCs w:val="21"/>
          <w:highlight w:val="none"/>
        </w:rPr>
      </w:pPr>
      <w:r>
        <w:rPr>
          <w:b/>
          <w:color w:val="auto"/>
          <w:szCs w:val="21"/>
          <w:highlight w:val="none"/>
        </w:rPr>
        <w:t>B1.</w:t>
      </w:r>
      <w:r>
        <w:rPr>
          <w:rFonts w:hint="eastAsia"/>
          <w:b/>
          <w:color w:val="auto"/>
          <w:szCs w:val="21"/>
          <w:highlight w:val="none"/>
        </w:rPr>
        <w:t>2</w:t>
      </w:r>
      <w:r>
        <w:rPr>
          <w:b/>
          <w:color w:val="auto"/>
          <w:szCs w:val="21"/>
          <w:highlight w:val="none"/>
        </w:rPr>
        <w:t>0</w:t>
      </w:r>
      <w:r>
        <w:rPr>
          <w:color w:val="auto"/>
          <w:szCs w:val="21"/>
          <w:highlight w:val="none"/>
        </w:rPr>
        <w:t>明显不符合招标文件规定的技术要求和标准的；</w:t>
      </w:r>
    </w:p>
    <w:p w14:paraId="010FDDD8">
      <w:pPr>
        <w:tabs>
          <w:tab w:val="left" w:pos="0"/>
          <w:tab w:val="left" w:pos="900"/>
        </w:tabs>
        <w:adjustRightInd w:val="0"/>
        <w:snapToGrid w:val="0"/>
        <w:spacing w:line="430" w:lineRule="exact"/>
        <w:ind w:left="620" w:hanging="620" w:hangingChars="294"/>
        <w:rPr>
          <w:color w:val="auto"/>
          <w:szCs w:val="21"/>
          <w:highlight w:val="none"/>
        </w:rPr>
      </w:pPr>
      <w:r>
        <w:rPr>
          <w:b/>
          <w:color w:val="auto"/>
          <w:szCs w:val="21"/>
          <w:highlight w:val="none"/>
        </w:rPr>
        <w:t>B1.</w:t>
      </w:r>
      <w:r>
        <w:rPr>
          <w:rFonts w:hint="eastAsia"/>
          <w:b/>
          <w:color w:val="auto"/>
          <w:szCs w:val="21"/>
          <w:highlight w:val="none"/>
        </w:rPr>
        <w:t>2</w:t>
      </w:r>
      <w:r>
        <w:rPr>
          <w:b/>
          <w:color w:val="auto"/>
          <w:szCs w:val="21"/>
          <w:highlight w:val="none"/>
        </w:rPr>
        <w:t>1</w:t>
      </w:r>
      <w:r>
        <w:rPr>
          <w:color w:val="auto"/>
          <w:szCs w:val="21"/>
          <w:highlight w:val="none"/>
        </w:rPr>
        <w:t>投标文件附有招标人不能接受的条件，或者对合同中约定的招标人的权力和投标人的义务方面造成重大限制的；</w:t>
      </w:r>
    </w:p>
    <w:p w14:paraId="5D2D5EC4">
      <w:pPr>
        <w:tabs>
          <w:tab w:val="left" w:pos="0"/>
          <w:tab w:val="left" w:pos="900"/>
        </w:tabs>
        <w:adjustRightInd w:val="0"/>
        <w:snapToGrid w:val="0"/>
        <w:spacing w:line="430" w:lineRule="exact"/>
        <w:ind w:left="632" w:hanging="632" w:hangingChars="300"/>
        <w:rPr>
          <w:color w:val="auto"/>
          <w:szCs w:val="21"/>
          <w:highlight w:val="none"/>
        </w:rPr>
      </w:pPr>
      <w:r>
        <w:rPr>
          <w:b/>
          <w:color w:val="auto"/>
          <w:szCs w:val="21"/>
          <w:highlight w:val="none"/>
        </w:rPr>
        <w:t>B1.</w:t>
      </w:r>
      <w:r>
        <w:rPr>
          <w:rFonts w:hint="eastAsia"/>
          <w:b/>
          <w:color w:val="auto"/>
          <w:szCs w:val="21"/>
          <w:highlight w:val="none"/>
        </w:rPr>
        <w:t>2</w:t>
      </w:r>
      <w:r>
        <w:rPr>
          <w:b/>
          <w:color w:val="auto"/>
          <w:szCs w:val="21"/>
          <w:highlight w:val="none"/>
        </w:rPr>
        <w:t>3</w:t>
      </w:r>
      <w:r>
        <w:rPr>
          <w:color w:val="auto"/>
          <w:szCs w:val="21"/>
          <w:highlight w:val="none"/>
        </w:rPr>
        <w:t>投标人提交的各项承诺书内容没有按照招标人给定的格式填写，或者内容表述错误、缺漏项的；</w:t>
      </w:r>
    </w:p>
    <w:p w14:paraId="5A183FFA">
      <w:pPr>
        <w:tabs>
          <w:tab w:val="left" w:pos="0"/>
          <w:tab w:val="left" w:pos="900"/>
          <w:tab w:val="left" w:pos="1080"/>
        </w:tabs>
        <w:adjustRightInd w:val="0"/>
        <w:snapToGrid w:val="0"/>
        <w:spacing w:line="430" w:lineRule="exact"/>
        <w:ind w:left="620" w:hanging="620" w:hangingChars="294"/>
        <w:rPr>
          <w:color w:val="auto"/>
          <w:szCs w:val="21"/>
          <w:highlight w:val="none"/>
        </w:rPr>
      </w:pPr>
      <w:r>
        <w:rPr>
          <w:b/>
          <w:color w:val="auto"/>
          <w:szCs w:val="21"/>
          <w:highlight w:val="none"/>
        </w:rPr>
        <w:t>B1.</w:t>
      </w:r>
      <w:r>
        <w:rPr>
          <w:rFonts w:hint="eastAsia"/>
          <w:b/>
          <w:color w:val="auto"/>
          <w:szCs w:val="21"/>
          <w:highlight w:val="none"/>
        </w:rPr>
        <w:t>2</w:t>
      </w:r>
      <w:r>
        <w:rPr>
          <w:b/>
          <w:color w:val="auto"/>
          <w:szCs w:val="21"/>
          <w:highlight w:val="none"/>
        </w:rPr>
        <w:t>4</w:t>
      </w:r>
      <w:r>
        <w:rPr>
          <w:color w:val="auto"/>
          <w:szCs w:val="21"/>
          <w:highlight w:val="none"/>
        </w:rPr>
        <w:t>在第二章“投标人须知前附表”规定的提交投标文件的截止时间后，投标人发生合并、分立等影响投标资格的重大变化，且变化后不再满足招标文件规定的资格标准或者影响公平竞争的；</w:t>
      </w:r>
    </w:p>
    <w:p w14:paraId="20315296">
      <w:pPr>
        <w:tabs>
          <w:tab w:val="left" w:pos="0"/>
          <w:tab w:val="left" w:pos="900"/>
          <w:tab w:val="left" w:pos="1080"/>
        </w:tabs>
        <w:adjustRightInd w:val="0"/>
        <w:snapToGrid w:val="0"/>
        <w:spacing w:line="430" w:lineRule="exact"/>
        <w:ind w:left="620" w:hanging="620" w:hangingChars="294"/>
        <w:rPr>
          <w:color w:val="auto"/>
          <w:szCs w:val="21"/>
          <w:highlight w:val="none"/>
          <w:shd w:val="clear" w:color="auto" w:fill="FFFFFF"/>
        </w:rPr>
      </w:pPr>
      <w:r>
        <w:rPr>
          <w:b/>
          <w:color w:val="auto"/>
          <w:szCs w:val="21"/>
          <w:highlight w:val="none"/>
        </w:rPr>
        <w:t>B1.</w:t>
      </w:r>
      <w:r>
        <w:rPr>
          <w:rFonts w:hint="eastAsia"/>
          <w:b/>
          <w:color w:val="auto"/>
          <w:szCs w:val="21"/>
          <w:highlight w:val="none"/>
        </w:rPr>
        <w:t>2</w:t>
      </w:r>
      <w:r>
        <w:rPr>
          <w:b/>
          <w:color w:val="auto"/>
          <w:szCs w:val="21"/>
          <w:highlight w:val="none"/>
        </w:rPr>
        <w:t>5</w:t>
      </w:r>
      <w:r>
        <w:rPr>
          <w:color w:val="auto"/>
          <w:szCs w:val="21"/>
          <w:highlight w:val="none"/>
          <w:shd w:val="clear" w:color="auto" w:fill="FFFFFF"/>
        </w:rPr>
        <w:t>单位负责人为同一人或者存在控股、管理关系的不同单位，同时参加同一标段投标或者未划分标段的同一招标项目投标的，</w:t>
      </w:r>
      <w:r>
        <w:rPr>
          <w:b/>
          <w:color w:val="auto"/>
          <w:szCs w:val="21"/>
          <w:highlight w:val="none"/>
          <w:shd w:val="clear" w:color="auto" w:fill="FFFFFF"/>
        </w:rPr>
        <w:t>相关投标均无效</w:t>
      </w:r>
      <w:r>
        <w:rPr>
          <w:color w:val="auto"/>
          <w:szCs w:val="21"/>
          <w:highlight w:val="none"/>
          <w:shd w:val="clear" w:color="auto" w:fill="FFFFFF"/>
        </w:rPr>
        <w:t>。（名词释义：单位负责人是指法人的法定代表人、合伙企业的执行事务合伙人、个人独资企业的负责人等对外代表单位的人；控股是指持有其他单位百分之五十以上出资额、股份或表决权，或者通过协议或其他安排，能够实际支配其他单位行为，如集团公司与下属子公司或分公司等）；</w:t>
      </w:r>
    </w:p>
    <w:p w14:paraId="0C1A7E32">
      <w:pPr>
        <w:tabs>
          <w:tab w:val="left" w:pos="0"/>
          <w:tab w:val="left" w:pos="900"/>
          <w:tab w:val="left" w:pos="1080"/>
        </w:tabs>
        <w:adjustRightInd w:val="0"/>
        <w:snapToGrid w:val="0"/>
        <w:spacing w:line="430" w:lineRule="exact"/>
        <w:rPr>
          <w:rFonts w:hint="eastAsia" w:eastAsia="宋体"/>
          <w:color w:val="auto"/>
          <w:szCs w:val="21"/>
          <w:highlight w:val="none"/>
          <w:lang w:val="en-US" w:eastAsia="zh-CN"/>
        </w:rPr>
        <w:sectPr>
          <w:headerReference r:id="rId15" w:type="default"/>
          <w:footerReference r:id="rId16" w:type="default"/>
          <w:type w:val="continuous"/>
          <w:pgSz w:w="11906" w:h="16838"/>
          <w:pgMar w:top="1440" w:right="1800" w:bottom="1440" w:left="1800" w:header="720" w:footer="720" w:gutter="0"/>
          <w:pgNumType w:fmt="decimal" w:chapStyle="1"/>
          <w:cols w:space="720" w:num="1"/>
          <w:docGrid w:linePitch="285" w:charSpace="0"/>
        </w:sectPr>
      </w:pPr>
      <w:r>
        <w:rPr>
          <w:b/>
          <w:color w:val="auto"/>
          <w:szCs w:val="21"/>
          <w:highlight w:val="none"/>
        </w:rPr>
        <w:t>B1.</w:t>
      </w:r>
      <w:r>
        <w:rPr>
          <w:rFonts w:hint="eastAsia"/>
          <w:b/>
          <w:color w:val="auto"/>
          <w:szCs w:val="21"/>
          <w:highlight w:val="none"/>
        </w:rPr>
        <w:t>2</w:t>
      </w:r>
      <w:r>
        <w:rPr>
          <w:b/>
          <w:color w:val="auto"/>
          <w:szCs w:val="21"/>
          <w:highlight w:val="none"/>
        </w:rPr>
        <w:t>6</w:t>
      </w:r>
      <w:r>
        <w:rPr>
          <w:color w:val="auto"/>
          <w:szCs w:val="21"/>
          <w:highlight w:val="none"/>
        </w:rPr>
        <w:t>有关法律法规规定的</w:t>
      </w:r>
      <w:r>
        <w:rPr>
          <w:rFonts w:hint="eastAsia"/>
          <w:color w:val="auto"/>
          <w:szCs w:val="21"/>
          <w:highlight w:val="none"/>
        </w:rPr>
        <w:t>否决投标</w:t>
      </w:r>
      <w:r>
        <w:rPr>
          <w:color w:val="auto"/>
          <w:szCs w:val="21"/>
          <w:highlight w:val="none"/>
        </w:rPr>
        <w:t>原则及其他实质上不响应招标文件规定情形</w:t>
      </w:r>
      <w:r>
        <w:rPr>
          <w:rFonts w:hint="eastAsia"/>
          <w:color w:val="auto"/>
          <w:szCs w:val="21"/>
          <w:highlight w:val="none"/>
          <w:lang w:eastAsia="zh-CN"/>
        </w:rPr>
        <w:t>。</w:t>
      </w:r>
    </w:p>
    <w:p w14:paraId="37808056">
      <w:pPr>
        <w:pStyle w:val="43"/>
        <w:ind w:firstLine="0" w:firstLineChars="0"/>
        <w:rPr>
          <w:rFonts w:ascii="宋体" w:hAnsi="宋体" w:cs="宋体"/>
          <w:b/>
          <w:color w:val="auto"/>
          <w:sz w:val="44"/>
          <w:szCs w:val="44"/>
          <w:highlight w:val="none"/>
        </w:rPr>
      </w:pPr>
      <w:bookmarkStart w:id="236" w:name="_Toc229471399"/>
    </w:p>
    <w:p w14:paraId="6E182017">
      <w:pPr>
        <w:pStyle w:val="43"/>
        <w:ind w:firstLine="442"/>
        <w:jc w:val="center"/>
        <w:rPr>
          <w:rFonts w:ascii="宋体" w:hAnsi="宋体" w:cs="宋体"/>
          <w:b/>
          <w:color w:val="auto"/>
          <w:sz w:val="44"/>
          <w:szCs w:val="44"/>
          <w:highlight w:val="none"/>
        </w:rPr>
      </w:pPr>
    </w:p>
    <w:p w14:paraId="5ECAEA74">
      <w:pPr>
        <w:pStyle w:val="43"/>
        <w:ind w:left="0" w:leftChars="0" w:firstLine="0" w:firstLineChars="0"/>
        <w:rPr>
          <w:rFonts w:ascii="宋体" w:hAnsi="宋体" w:cs="宋体"/>
          <w:b/>
          <w:color w:val="auto"/>
          <w:sz w:val="44"/>
          <w:szCs w:val="44"/>
          <w:highlight w:val="none"/>
        </w:rPr>
      </w:pPr>
    </w:p>
    <w:p w14:paraId="23B9676B">
      <w:pPr>
        <w:rPr>
          <w:color w:val="auto"/>
          <w:highlight w:val="none"/>
        </w:rPr>
      </w:pPr>
    </w:p>
    <w:p w14:paraId="306A154A">
      <w:pPr>
        <w:pStyle w:val="43"/>
        <w:ind w:firstLine="442"/>
        <w:jc w:val="center"/>
        <w:rPr>
          <w:rFonts w:ascii="宋体" w:hAnsi="宋体" w:cs="宋体"/>
          <w:b/>
          <w:color w:val="auto"/>
          <w:sz w:val="44"/>
          <w:szCs w:val="44"/>
          <w:highlight w:val="none"/>
        </w:rPr>
      </w:pPr>
    </w:p>
    <w:p w14:paraId="67D3C957">
      <w:pPr>
        <w:pStyle w:val="44"/>
        <w:rPr>
          <w:color w:val="auto"/>
          <w:highlight w:val="none"/>
        </w:rPr>
      </w:pPr>
    </w:p>
    <w:p w14:paraId="4B266614">
      <w:pPr>
        <w:pStyle w:val="43"/>
        <w:ind w:firstLine="442"/>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第四章</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rPr>
        <w:t>合同条款及格式</w:t>
      </w:r>
    </w:p>
    <w:p w14:paraId="47F733DD">
      <w:pPr>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以实际签订合同为准</w:t>
      </w:r>
      <w:r>
        <w:rPr>
          <w:rFonts w:hint="eastAsia" w:ascii="宋体" w:hAnsi="宋体" w:cs="宋体"/>
          <w:b/>
          <w:color w:val="auto"/>
          <w:sz w:val="24"/>
          <w:szCs w:val="24"/>
          <w:highlight w:val="none"/>
          <w:lang w:eastAsia="zh-CN"/>
        </w:rPr>
        <w:t>）</w:t>
      </w:r>
    </w:p>
    <w:p w14:paraId="3B901619">
      <w:pPr>
        <w:rPr>
          <w:rFonts w:hint="eastAsia" w:ascii="宋体" w:hAnsi="宋体" w:cs="宋体"/>
          <w:b/>
          <w:color w:val="auto"/>
          <w:sz w:val="24"/>
          <w:szCs w:val="24"/>
          <w:highlight w:val="none"/>
          <w:lang w:eastAsia="zh-CN"/>
        </w:rPr>
        <w:sectPr>
          <w:headerReference r:id="rId17" w:type="default"/>
          <w:footerReference r:id="rId18" w:type="default"/>
          <w:pgSz w:w="11906" w:h="16838"/>
          <w:pgMar w:top="1588" w:right="1701" w:bottom="1418" w:left="1701" w:header="851" w:footer="851" w:gutter="0"/>
          <w:pgNumType w:fmt="decimal"/>
          <w:cols w:space="720" w:num="1"/>
          <w:docGrid w:type="lines" w:linePitch="312" w:charSpace="0"/>
        </w:sectPr>
      </w:pPr>
      <w:r>
        <w:rPr>
          <w:rFonts w:hint="eastAsia" w:ascii="宋体" w:hAnsi="宋体" w:cs="宋体"/>
          <w:b/>
          <w:color w:val="auto"/>
          <w:sz w:val="24"/>
          <w:szCs w:val="24"/>
          <w:highlight w:val="none"/>
          <w:lang w:eastAsia="zh-CN"/>
        </w:rPr>
        <w:br w:type="page"/>
      </w:r>
    </w:p>
    <w:p w14:paraId="39C3B397">
      <w:pPr>
        <w:pStyle w:val="25"/>
        <w:rPr>
          <w:rFonts w:hint="eastAsia"/>
          <w:highlight w:val="none"/>
          <w:lang w:eastAsia="zh-CN"/>
        </w:rPr>
      </w:pPr>
    </w:p>
    <w:p w14:paraId="338BA096">
      <w:pPr>
        <w:pStyle w:val="271"/>
        <w:spacing w:after="120" w:afterLines="50" w:line="240" w:lineRule="atLeast"/>
        <w:rPr>
          <w:rFonts w:hint="eastAsia" w:ascii="仿宋" w:hAnsi="仿宋" w:eastAsia="仿宋" w:cs="仿宋"/>
          <w:color w:val="auto"/>
          <w:sz w:val="32"/>
          <w:szCs w:val="32"/>
          <w:highlight w:val="none"/>
          <w:lang w:eastAsia="zh-CN"/>
        </w:rPr>
      </w:pPr>
    </w:p>
    <w:p w14:paraId="2CDF7C35">
      <w:pPr>
        <w:jc w:val="center"/>
        <w:rPr>
          <w:rFonts w:eastAsia="黑体"/>
          <w:color w:val="auto"/>
          <w:sz w:val="72"/>
          <w:szCs w:val="72"/>
          <w:highlight w:val="none"/>
        </w:rPr>
      </w:pPr>
    </w:p>
    <w:p w14:paraId="61F5C5D4">
      <w:pPr>
        <w:jc w:val="center"/>
        <w:rPr>
          <w:rFonts w:eastAsia="黑体"/>
          <w:color w:val="auto"/>
          <w:sz w:val="72"/>
          <w:szCs w:val="72"/>
          <w:highlight w:val="none"/>
        </w:rPr>
      </w:pPr>
    </w:p>
    <w:p w14:paraId="5AB43D83">
      <w:pPr>
        <w:jc w:val="center"/>
        <w:rPr>
          <w:rFonts w:eastAsia="黑体"/>
          <w:color w:val="auto"/>
          <w:sz w:val="72"/>
          <w:szCs w:val="72"/>
          <w:highlight w:val="none"/>
        </w:rPr>
      </w:pPr>
    </w:p>
    <w:p w14:paraId="304C69BD">
      <w:pPr>
        <w:jc w:val="center"/>
        <w:rPr>
          <w:rFonts w:eastAsia="黑体"/>
          <w:color w:val="auto"/>
          <w:sz w:val="72"/>
          <w:szCs w:val="72"/>
          <w:highlight w:val="none"/>
        </w:rPr>
      </w:pPr>
    </w:p>
    <w:p w14:paraId="09A2267E">
      <w:pPr>
        <w:jc w:val="center"/>
        <w:rPr>
          <w:rFonts w:eastAsia="黑体"/>
          <w:color w:val="auto"/>
          <w:sz w:val="72"/>
          <w:szCs w:val="72"/>
          <w:highlight w:val="none"/>
        </w:rPr>
      </w:pPr>
      <w:r>
        <w:rPr>
          <w:rFonts w:eastAsia="黑体"/>
          <w:color w:val="auto"/>
          <w:sz w:val="72"/>
          <w:szCs w:val="72"/>
          <w:highlight w:val="none"/>
        </w:rPr>
        <w:t>第二卷</w:t>
      </w:r>
    </w:p>
    <w:p w14:paraId="4EF60EED">
      <w:pPr>
        <w:rPr>
          <w:color w:val="auto"/>
          <w:szCs w:val="21"/>
          <w:highlight w:val="none"/>
        </w:rPr>
      </w:pPr>
    </w:p>
    <w:p w14:paraId="7FAFFFD3">
      <w:pPr>
        <w:rPr>
          <w:color w:val="auto"/>
          <w:szCs w:val="21"/>
          <w:highlight w:val="none"/>
        </w:rPr>
      </w:pPr>
    </w:p>
    <w:p w14:paraId="560FF0E6">
      <w:pPr>
        <w:rPr>
          <w:color w:val="auto"/>
          <w:szCs w:val="21"/>
          <w:highlight w:val="none"/>
        </w:rPr>
      </w:pPr>
    </w:p>
    <w:p w14:paraId="612195F5">
      <w:pPr>
        <w:rPr>
          <w:color w:val="auto"/>
          <w:szCs w:val="21"/>
          <w:highlight w:val="none"/>
        </w:rPr>
        <w:sectPr>
          <w:footerReference r:id="rId19" w:type="default"/>
          <w:pgSz w:w="11906" w:h="16838"/>
          <w:pgMar w:top="1588" w:right="1701" w:bottom="1418" w:left="1701" w:header="851" w:footer="851" w:gutter="0"/>
          <w:pgNumType w:fmt="decimal"/>
          <w:cols w:space="720" w:num="1"/>
          <w:docGrid w:type="lines" w:linePitch="312" w:charSpace="0"/>
        </w:sectPr>
      </w:pPr>
    </w:p>
    <w:p w14:paraId="08835FBA">
      <w:pPr>
        <w:rPr>
          <w:color w:val="auto"/>
          <w:szCs w:val="21"/>
          <w:highlight w:val="none"/>
        </w:rPr>
      </w:pPr>
    </w:p>
    <w:p w14:paraId="219A06B4">
      <w:pPr>
        <w:pStyle w:val="2"/>
        <w:tabs>
          <w:tab w:val="clear" w:pos="432"/>
        </w:tabs>
        <w:rPr>
          <w:rFonts w:ascii="Times New Roman"/>
          <w:color w:val="auto"/>
          <w:sz w:val="48"/>
          <w:szCs w:val="48"/>
          <w:highlight w:val="none"/>
        </w:rPr>
      </w:pPr>
    </w:p>
    <w:p w14:paraId="6C382202">
      <w:pPr>
        <w:rPr>
          <w:rFonts w:ascii="Times New Roman"/>
          <w:color w:val="auto"/>
          <w:sz w:val="48"/>
          <w:szCs w:val="48"/>
          <w:highlight w:val="none"/>
        </w:rPr>
      </w:pPr>
    </w:p>
    <w:p w14:paraId="0E6156FE">
      <w:pPr>
        <w:rPr>
          <w:rFonts w:ascii="Times New Roman"/>
          <w:color w:val="auto"/>
          <w:sz w:val="48"/>
          <w:szCs w:val="48"/>
          <w:highlight w:val="none"/>
        </w:rPr>
      </w:pPr>
    </w:p>
    <w:p w14:paraId="154AA237">
      <w:pPr>
        <w:rPr>
          <w:rFonts w:ascii="Times New Roman"/>
          <w:color w:val="auto"/>
          <w:sz w:val="48"/>
          <w:szCs w:val="48"/>
          <w:highlight w:val="none"/>
        </w:rPr>
      </w:pPr>
    </w:p>
    <w:p w14:paraId="68546AA3">
      <w:pPr>
        <w:rPr>
          <w:rFonts w:ascii="Times New Roman"/>
          <w:color w:val="auto"/>
          <w:sz w:val="48"/>
          <w:szCs w:val="48"/>
          <w:highlight w:val="none"/>
        </w:rPr>
      </w:pPr>
    </w:p>
    <w:p w14:paraId="08F2FEC1">
      <w:pPr>
        <w:pStyle w:val="2"/>
        <w:tabs>
          <w:tab w:val="clear" w:pos="432"/>
        </w:tabs>
        <w:rPr>
          <w:rFonts w:ascii="Times New Roman"/>
          <w:color w:val="auto"/>
          <w:sz w:val="48"/>
          <w:szCs w:val="48"/>
          <w:highlight w:val="none"/>
        </w:rPr>
      </w:pPr>
      <w:r>
        <w:rPr>
          <w:rFonts w:ascii="Times New Roman"/>
          <w:color w:val="auto"/>
          <w:sz w:val="48"/>
          <w:szCs w:val="48"/>
          <w:highlight w:val="none"/>
        </w:rPr>
        <w:t>第</w:t>
      </w:r>
      <w:r>
        <w:rPr>
          <w:rFonts w:hint="eastAsia" w:ascii="Times New Roman"/>
          <w:color w:val="auto"/>
          <w:sz w:val="48"/>
          <w:szCs w:val="48"/>
          <w:highlight w:val="none"/>
        </w:rPr>
        <w:t>五</w:t>
      </w:r>
      <w:r>
        <w:rPr>
          <w:rFonts w:ascii="Times New Roman"/>
          <w:color w:val="auto"/>
          <w:sz w:val="48"/>
          <w:szCs w:val="48"/>
          <w:highlight w:val="none"/>
        </w:rPr>
        <w:t>章</w:t>
      </w:r>
      <w:r>
        <w:rPr>
          <w:rFonts w:hint="eastAsia" w:ascii="Times New Roman"/>
          <w:color w:val="auto"/>
          <w:sz w:val="48"/>
          <w:szCs w:val="48"/>
          <w:highlight w:val="none"/>
          <w:lang w:val="en-US" w:eastAsia="zh-CN"/>
        </w:rPr>
        <w:t xml:space="preserve"> 采购需求</w:t>
      </w:r>
    </w:p>
    <w:p w14:paraId="089C08AF">
      <w:pPr>
        <w:pStyle w:val="2"/>
        <w:tabs>
          <w:tab w:val="clear" w:pos="432"/>
        </w:tabs>
        <w:rPr>
          <w:rFonts w:ascii="Times New Roman"/>
          <w:color w:val="auto"/>
          <w:sz w:val="48"/>
          <w:szCs w:val="48"/>
          <w:highlight w:val="none"/>
        </w:rPr>
      </w:pPr>
    </w:p>
    <w:p w14:paraId="285BA1E7">
      <w:pPr>
        <w:rPr>
          <w:rFonts w:eastAsia="黑体"/>
          <w:color w:val="auto"/>
          <w:sz w:val="72"/>
          <w:szCs w:val="72"/>
          <w:highlight w:val="none"/>
        </w:rPr>
        <w:sectPr>
          <w:headerReference r:id="rId20" w:type="default"/>
          <w:pgSz w:w="11907" w:h="16840"/>
          <w:pgMar w:top="1191" w:right="1361" w:bottom="1077" w:left="1531" w:header="777" w:footer="652" w:gutter="0"/>
          <w:pgNumType w:fmt="decimal"/>
          <w:cols w:space="720" w:num="1"/>
          <w:docGrid w:type="lines" w:linePitch="272" w:charSpace="0"/>
        </w:sectPr>
      </w:pPr>
    </w:p>
    <w:bookmarkEnd w:id="236"/>
    <w:p w14:paraId="5E98047C">
      <w:pPr>
        <w:pStyle w:val="23"/>
        <w:spacing w:after="120" w:afterLines="50" w:line="276" w:lineRule="auto"/>
        <w:jc w:val="center"/>
        <w:rPr>
          <w:rFonts w:hAnsi="宋体" w:cs="宋体"/>
          <w:sz w:val="36"/>
          <w:szCs w:val="36"/>
          <w:highlight w:val="none"/>
        </w:rPr>
      </w:pPr>
      <w:r>
        <w:rPr>
          <w:rFonts w:hint="eastAsia" w:hAnsi="宋体" w:cs="宋体"/>
          <w:b/>
          <w:bCs/>
          <w:sz w:val="36"/>
          <w:szCs w:val="36"/>
          <w:highlight w:val="none"/>
        </w:rPr>
        <w:t>采购需求</w:t>
      </w:r>
    </w:p>
    <w:p w14:paraId="18CA93A1">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三家子7#-2电梯技术规格及功能要求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040"/>
        <w:gridCol w:w="5663"/>
      </w:tblGrid>
      <w:tr w14:paraId="7E3E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9" w:type="dxa"/>
            <w:vAlign w:val="center"/>
          </w:tcPr>
          <w:p w14:paraId="57BD2712">
            <w:pPr>
              <w:jc w:val="center"/>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val="0"/>
                <w:bCs w:val="0"/>
                <w:sz w:val="21"/>
                <w:szCs w:val="24"/>
                <w:vertAlign w:val="baseline"/>
                <w:lang w:val="en-US" w:eastAsia="zh-CN"/>
              </w:rPr>
              <w:t>序号</w:t>
            </w:r>
          </w:p>
        </w:tc>
        <w:tc>
          <w:tcPr>
            <w:tcW w:w="7703" w:type="dxa"/>
            <w:gridSpan w:val="2"/>
            <w:vAlign w:val="center"/>
          </w:tcPr>
          <w:p w14:paraId="5F3EB2D9">
            <w:p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技术规格及总体要求</w:t>
            </w:r>
          </w:p>
        </w:tc>
      </w:tr>
      <w:tr w14:paraId="29C4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9" w:type="dxa"/>
            <w:vAlign w:val="center"/>
          </w:tcPr>
          <w:p w14:paraId="38B57E59">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w:t>
            </w:r>
          </w:p>
        </w:tc>
        <w:tc>
          <w:tcPr>
            <w:tcW w:w="7703" w:type="dxa"/>
            <w:gridSpan w:val="2"/>
            <w:vAlign w:val="center"/>
          </w:tcPr>
          <w:p w14:paraId="14F58227">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轿厢、轿门、厅门及门套全部发纹不锈钢(门套壁厚不小于1.2mm厚)</w:t>
            </w:r>
          </w:p>
        </w:tc>
      </w:tr>
      <w:tr w14:paraId="1C75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9" w:type="dxa"/>
            <w:vAlign w:val="center"/>
          </w:tcPr>
          <w:p w14:paraId="4FC1E1DB">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w:t>
            </w:r>
          </w:p>
        </w:tc>
        <w:tc>
          <w:tcPr>
            <w:tcW w:w="7703" w:type="dxa"/>
            <w:gridSpan w:val="2"/>
            <w:vAlign w:val="center"/>
          </w:tcPr>
          <w:p w14:paraId="6DD2340C">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驱动系统:(1)驱动方式:VVVF变频变压调速(2)曳引机:永磁同步无齿曳引机</w:t>
            </w:r>
          </w:p>
        </w:tc>
      </w:tr>
      <w:tr w14:paraId="765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9" w:type="dxa"/>
            <w:vAlign w:val="center"/>
          </w:tcPr>
          <w:p w14:paraId="3ED6DE26">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w:t>
            </w:r>
          </w:p>
        </w:tc>
        <w:tc>
          <w:tcPr>
            <w:tcW w:w="7703" w:type="dxa"/>
            <w:gridSpan w:val="2"/>
            <w:vAlign w:val="center"/>
          </w:tcPr>
          <w:p w14:paraId="064D51DF">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控制系统:(1)控制方式:双32位微电脑模块化控制(2)信号方式:单梯集选</w:t>
            </w:r>
          </w:p>
        </w:tc>
      </w:tr>
      <w:tr w14:paraId="52E9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19" w:type="dxa"/>
            <w:vAlign w:val="center"/>
          </w:tcPr>
          <w:p w14:paraId="15DE4284">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4</w:t>
            </w:r>
          </w:p>
        </w:tc>
        <w:tc>
          <w:tcPr>
            <w:tcW w:w="7703" w:type="dxa"/>
            <w:gridSpan w:val="2"/>
            <w:vAlign w:val="center"/>
          </w:tcPr>
          <w:p w14:paraId="313E9DEC">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厅外召唤及显示:</w:t>
            </w:r>
          </w:p>
          <w:p w14:paraId="21CA863C">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型号:外呼显示采用LED显示，显示尺寸不小于4.3寸</w:t>
            </w:r>
          </w:p>
          <w:p w14:paraId="0440783E">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按钮:呼梯按钮采用不锈钢按钮(按钮为圆形盲文按钮)</w:t>
            </w:r>
          </w:p>
          <w:p w14:paraId="71FD6EFE">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面板材料:发纹不锈钢</w:t>
            </w:r>
          </w:p>
          <w:p w14:paraId="593C07B7">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厅外显示:液晶式轿厢位置和运行方向显示</w:t>
            </w:r>
          </w:p>
        </w:tc>
      </w:tr>
      <w:tr w14:paraId="5FCF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19" w:type="dxa"/>
            <w:vAlign w:val="center"/>
          </w:tcPr>
          <w:p w14:paraId="5F88A4D3">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5</w:t>
            </w:r>
          </w:p>
        </w:tc>
        <w:tc>
          <w:tcPr>
            <w:tcW w:w="7703" w:type="dxa"/>
            <w:gridSpan w:val="2"/>
            <w:vAlign w:val="center"/>
          </w:tcPr>
          <w:p w14:paraId="12020084">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厅门:</w:t>
            </w:r>
          </w:p>
          <w:p w14:paraId="32015079">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(1)开门方式:中分自动门(3)地坑深度:1.8m</w:t>
            </w:r>
          </w:p>
          <w:p w14:paraId="2CF01BE6">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(4)顶站层高:4.7m</w:t>
            </w:r>
          </w:p>
          <w:p w14:paraId="299E464D">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(2)开门净尺寸:900mmX2100mm</w:t>
            </w:r>
          </w:p>
          <w:p w14:paraId="797DBAFA">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(宽x高)</w:t>
            </w:r>
          </w:p>
        </w:tc>
      </w:tr>
      <w:tr w14:paraId="2DA9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19" w:type="dxa"/>
            <w:vAlign w:val="center"/>
          </w:tcPr>
          <w:p w14:paraId="456453AA">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6</w:t>
            </w:r>
          </w:p>
        </w:tc>
        <w:tc>
          <w:tcPr>
            <w:tcW w:w="7703" w:type="dxa"/>
            <w:gridSpan w:val="2"/>
            <w:vAlign w:val="center"/>
          </w:tcPr>
          <w:p w14:paraId="2F556240">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轿厢:</w:t>
            </w:r>
          </w:p>
          <w:p w14:paraId="4E4ADB6E">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(1)轿厢净高:2400mm</w:t>
            </w:r>
          </w:p>
          <w:p w14:paraId="2E43C4CD">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(2)轿顶:标准型</w:t>
            </w:r>
          </w:p>
          <w:p w14:paraId="7F18264C">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(3)轿 底:PVC地面(图案仿理石)</w:t>
            </w:r>
          </w:p>
          <w:p w14:paraId="553BFEC5">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(4)地坎:铝合金</w:t>
            </w:r>
          </w:p>
          <w:p w14:paraId="741AA1B0">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(5)轿内操纵箱:发纹不锈钢操纵盘、LCD显示屏，显示屏尺寸不小于7.6寸，不锈钢按钮(按钮为圆</w:t>
            </w:r>
          </w:p>
          <w:p w14:paraId="3FB2D289">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形盲文按钮)</w:t>
            </w:r>
          </w:p>
        </w:tc>
      </w:tr>
      <w:tr w14:paraId="606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1DFCF1CC">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7</w:t>
            </w:r>
          </w:p>
        </w:tc>
        <w:tc>
          <w:tcPr>
            <w:tcW w:w="7703" w:type="dxa"/>
            <w:gridSpan w:val="2"/>
            <w:vAlign w:val="center"/>
          </w:tcPr>
          <w:p w14:paraId="4251A30E">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电源特性:(1)主电源:交流三相380V，50HZ</w:t>
            </w:r>
          </w:p>
          <w:p w14:paraId="24FEE916">
            <w:pPr>
              <w:jc w:val="left"/>
              <w:rPr>
                <w:rFonts w:hint="eastAsia" w:asciiTheme="minorEastAsia" w:hAnsiTheme="minorEastAsia" w:eastAsiaTheme="minorEastAsia" w:cstheme="minorEastAsia"/>
                <w:b/>
                <w:bCs/>
                <w:sz w:val="24"/>
                <w:szCs w:val="32"/>
                <w:vertAlign w:val="baseline"/>
              </w:rPr>
            </w:pPr>
            <w:r>
              <w:rPr>
                <w:rFonts w:hint="eastAsia" w:asciiTheme="minorEastAsia" w:hAnsiTheme="minorEastAsia" w:cstheme="minorEastAsia"/>
                <w:b w:val="0"/>
                <w:bCs w:val="0"/>
                <w:sz w:val="21"/>
                <w:szCs w:val="24"/>
                <w:vertAlign w:val="baseline"/>
                <w:lang w:val="en-US" w:eastAsia="zh-CN"/>
              </w:rPr>
              <w:t>(2)照明电源:交流单相220V，50HZ</w:t>
            </w:r>
          </w:p>
        </w:tc>
      </w:tr>
      <w:tr w14:paraId="573E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19" w:type="dxa"/>
            <w:vAlign w:val="center"/>
          </w:tcPr>
          <w:p w14:paraId="656B37F0">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8</w:t>
            </w:r>
          </w:p>
        </w:tc>
        <w:tc>
          <w:tcPr>
            <w:tcW w:w="7703" w:type="dxa"/>
            <w:gridSpan w:val="2"/>
            <w:vAlign w:val="center"/>
          </w:tcPr>
          <w:p w14:paraId="4805D6A9">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六大部件原厂原品牌:主机、控制系统、门机、安全钳、限速器、缓冲器。</w:t>
            </w:r>
          </w:p>
          <w:p w14:paraId="712185CC">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主机:节能永磁同步无齿轮传动曳引机。高效等级马达、满足行业最高节能标准、安全防护等级高。</w:t>
            </w:r>
          </w:p>
          <w:p w14:paraId="025CB12A">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曳引系统采用原厂原品牌。提供型式试验报告或第三方检测报告。</w:t>
            </w:r>
          </w:p>
          <w:p w14:paraId="56086B49">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控制柜:电梯控制柜应为原厂原品牌，提供型式试验报告或第三方检测报告。</w:t>
            </w:r>
          </w:p>
          <w:p w14:paraId="2A122992">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门机：原厂原品牌提供型式试验报告或第三方检测报告。</w:t>
            </w:r>
          </w:p>
          <w:p w14:paraId="33A7F925">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安全钳:原厂原品牌提供型式试验报告或第三方检测报告。</w:t>
            </w:r>
          </w:p>
          <w:p w14:paraId="1903FD2D">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限速器：原厂原品牌提供型式试验报告或第三方检测报告。</w:t>
            </w:r>
          </w:p>
          <w:p w14:paraId="31969C3A">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缓冲器：原厂原品牌提供型式试验报告或第三方检测报告。</w:t>
            </w:r>
          </w:p>
          <w:p w14:paraId="48955E73">
            <w:pPr>
              <w:jc w:val="left"/>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钢丝绳：采用曳引钢丝绳</w:t>
            </w:r>
          </w:p>
        </w:tc>
      </w:tr>
      <w:tr w14:paraId="162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0EA6ECB8">
            <w:pPr>
              <w:jc w:val="center"/>
              <w:rPr>
                <w:rFonts w:hint="eastAsia"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9</w:t>
            </w:r>
          </w:p>
        </w:tc>
        <w:tc>
          <w:tcPr>
            <w:tcW w:w="7703" w:type="dxa"/>
            <w:gridSpan w:val="2"/>
            <w:vAlign w:val="center"/>
          </w:tcPr>
          <w:p w14:paraId="549B45B7">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(1)载重量:1000kg</w:t>
            </w:r>
          </w:p>
          <w:p w14:paraId="1E30F66B">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(2)速度为:1.6M/S，从首层至顶层的运行时间不大于60S</w:t>
            </w:r>
          </w:p>
          <w:p w14:paraId="73752B32">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(3)维保:1年</w:t>
            </w:r>
          </w:p>
          <w:p w14:paraId="79E511FA">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(4)预留门禁联动、智能语音安抚</w:t>
            </w:r>
          </w:p>
          <w:p w14:paraId="18FC9388">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(5)电梯开门方式:中分双扇自动门</w:t>
            </w:r>
          </w:p>
          <w:p w14:paraId="05E57480">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(6)操纵盘:发纹不锈钢</w:t>
            </w:r>
          </w:p>
          <w:p w14:paraId="26D953A1">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(7)吊顶:(根据厂家提供选型进行选择)</w:t>
            </w:r>
          </w:p>
          <w:p w14:paraId="6130C1AE">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(8)预留RS485通讯协议接口，配合弱电方实现IC卡管理、访客联动及室内呼梯等数字化智能系统安装条件，与小区数字化管理中心主机联动，实现小区一卡通功能及实现室内终端机叫梯功能。</w:t>
            </w:r>
          </w:p>
        </w:tc>
      </w:tr>
      <w:tr w14:paraId="0849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819" w:type="dxa"/>
            <w:vAlign w:val="center"/>
          </w:tcPr>
          <w:p w14:paraId="096FB98A">
            <w:pPr>
              <w:jc w:val="center"/>
              <w:rPr>
                <w:rFonts w:hint="default" w:asciiTheme="minorEastAsia" w:hAnsiTheme="minorEastAsia" w:eastAsia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10</w:t>
            </w:r>
          </w:p>
        </w:tc>
        <w:tc>
          <w:tcPr>
            <w:tcW w:w="7703" w:type="dxa"/>
            <w:gridSpan w:val="2"/>
            <w:vAlign w:val="center"/>
          </w:tcPr>
          <w:p w14:paraId="0C368002">
            <w:p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电梯界限划分：</w:t>
            </w:r>
          </w:p>
          <w:p w14:paraId="5213C26E">
            <w:pPr>
              <w:numPr>
                <w:ilvl w:val="0"/>
                <w:numId w:val="13"/>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监控系统:中标人负责提供轿厢内摄像头安装开孔，井道内视频线缆敷设(轿厢- 控制柜)，配合弱电侧接入电源与信号，其余由弱电方负责；</w:t>
            </w:r>
          </w:p>
          <w:p w14:paraId="544831B8">
            <w:pPr>
              <w:numPr>
                <w:ilvl w:val="0"/>
                <w:numId w:val="13"/>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五方通话系统:负责轿内-轿顶-底坑对讲分机:井道内对讲线缆(轿厢-控制柜):控制柜内对讲模块接线</w:t>
            </w:r>
          </w:p>
          <w:p w14:paraId="45F09899">
            <w:pPr>
              <w:numPr>
                <w:ilvl w:val="0"/>
                <w:numId w:val="13"/>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电梯控制系统:以电梯控制柜电源进线端子为界，中标方负责端子及以内所有控制、驱动、安全、井道、轿厢、门系统设备与线路</w:t>
            </w:r>
          </w:p>
        </w:tc>
      </w:tr>
      <w:tr w14:paraId="4450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9" w:type="dxa"/>
            <w:vAlign w:val="center"/>
          </w:tcPr>
          <w:p w14:paraId="5CADC1F3">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序号</w:t>
            </w:r>
          </w:p>
        </w:tc>
        <w:tc>
          <w:tcPr>
            <w:tcW w:w="2040" w:type="dxa"/>
            <w:vAlign w:val="center"/>
          </w:tcPr>
          <w:p w14:paraId="72B283D5">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功能要求</w:t>
            </w:r>
          </w:p>
        </w:tc>
        <w:tc>
          <w:tcPr>
            <w:tcW w:w="5663" w:type="dxa"/>
            <w:vAlign w:val="center"/>
          </w:tcPr>
          <w:p w14:paraId="3B239905">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说明</w:t>
            </w:r>
          </w:p>
        </w:tc>
      </w:tr>
      <w:tr w14:paraId="70E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9" w:type="dxa"/>
            <w:vAlign w:val="center"/>
          </w:tcPr>
          <w:p w14:paraId="2E916282">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w:t>
            </w:r>
          </w:p>
        </w:tc>
        <w:tc>
          <w:tcPr>
            <w:tcW w:w="2040" w:type="dxa"/>
            <w:vAlign w:val="center"/>
          </w:tcPr>
          <w:p w14:paraId="0261D8BA">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集选运行</w:t>
            </w:r>
          </w:p>
        </w:tc>
        <w:tc>
          <w:tcPr>
            <w:tcW w:w="5663" w:type="dxa"/>
            <w:vAlign w:val="center"/>
          </w:tcPr>
          <w:p w14:paraId="4B86C8CD">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呼梯信号集合起来进行有选择的应答的全自动运行模式</w:t>
            </w:r>
          </w:p>
        </w:tc>
      </w:tr>
      <w:tr w14:paraId="6440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9" w:type="dxa"/>
            <w:vAlign w:val="center"/>
          </w:tcPr>
          <w:p w14:paraId="76DFE3F3">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w:t>
            </w:r>
          </w:p>
        </w:tc>
        <w:tc>
          <w:tcPr>
            <w:tcW w:w="2040" w:type="dxa"/>
            <w:vAlign w:val="center"/>
          </w:tcPr>
          <w:p w14:paraId="7DFC59D0">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慢速自救运行</w:t>
            </w:r>
          </w:p>
        </w:tc>
        <w:tc>
          <w:tcPr>
            <w:tcW w:w="5663" w:type="dxa"/>
            <w:vAlign w:val="center"/>
          </w:tcPr>
          <w:p w14:paraId="7166FF32">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非检修状态下，轿厢未停在平层区，电梯将自动以慢速运行至平层区，开门疏散乘客</w:t>
            </w:r>
          </w:p>
        </w:tc>
      </w:tr>
      <w:tr w14:paraId="6E5E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9" w:type="dxa"/>
            <w:vAlign w:val="center"/>
          </w:tcPr>
          <w:p w14:paraId="6C638D61">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w:t>
            </w:r>
          </w:p>
        </w:tc>
        <w:tc>
          <w:tcPr>
            <w:tcW w:w="2040" w:type="dxa"/>
            <w:vAlign w:val="center"/>
          </w:tcPr>
          <w:p w14:paraId="6C30F063">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到站自动开门</w:t>
            </w:r>
          </w:p>
        </w:tc>
        <w:tc>
          <w:tcPr>
            <w:tcW w:w="5663" w:type="dxa"/>
            <w:vAlign w:val="center"/>
          </w:tcPr>
          <w:p w14:paraId="7C8E9423">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每次自动平层时，电梯自动开门</w:t>
            </w:r>
          </w:p>
        </w:tc>
      </w:tr>
      <w:tr w14:paraId="7AEE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9" w:type="dxa"/>
            <w:vAlign w:val="center"/>
          </w:tcPr>
          <w:p w14:paraId="32E9A959">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4</w:t>
            </w:r>
          </w:p>
        </w:tc>
        <w:tc>
          <w:tcPr>
            <w:tcW w:w="2040" w:type="dxa"/>
            <w:vAlign w:val="center"/>
          </w:tcPr>
          <w:p w14:paraId="5DA08A1D">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本层厅外开门</w:t>
            </w:r>
          </w:p>
        </w:tc>
        <w:tc>
          <w:tcPr>
            <w:tcW w:w="5663" w:type="dxa"/>
            <w:vAlign w:val="center"/>
          </w:tcPr>
          <w:p w14:paraId="0874B37A">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如本层召唤按钮按下，门保持打开，超过自动开门保持时间自动关门，持续点动按钮，提前关门</w:t>
            </w:r>
          </w:p>
        </w:tc>
      </w:tr>
      <w:tr w14:paraId="1870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19" w:type="dxa"/>
            <w:vAlign w:val="center"/>
          </w:tcPr>
          <w:p w14:paraId="5ADC8957">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5</w:t>
            </w:r>
          </w:p>
        </w:tc>
        <w:tc>
          <w:tcPr>
            <w:tcW w:w="2040" w:type="dxa"/>
            <w:vAlign w:val="center"/>
          </w:tcPr>
          <w:p w14:paraId="1EED5788">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关门按钮提前关门</w:t>
            </w:r>
          </w:p>
        </w:tc>
        <w:tc>
          <w:tcPr>
            <w:tcW w:w="5663" w:type="dxa"/>
            <w:vAlign w:val="center"/>
          </w:tcPr>
          <w:p w14:paraId="477F2E01">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自动状态下，可以按关门按钮使开启状态的门立即响应关门动作，提前关门</w:t>
            </w:r>
          </w:p>
        </w:tc>
      </w:tr>
      <w:tr w14:paraId="1E24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19" w:type="dxa"/>
            <w:vAlign w:val="center"/>
          </w:tcPr>
          <w:p w14:paraId="7EF2532A">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6</w:t>
            </w:r>
          </w:p>
        </w:tc>
        <w:tc>
          <w:tcPr>
            <w:tcW w:w="2040" w:type="dxa"/>
            <w:vAlign w:val="center"/>
          </w:tcPr>
          <w:p w14:paraId="362B7D2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开门按钮开门</w:t>
            </w:r>
          </w:p>
        </w:tc>
        <w:tc>
          <w:tcPr>
            <w:tcW w:w="5663" w:type="dxa"/>
            <w:vAlign w:val="center"/>
          </w:tcPr>
          <w:p w14:paraId="6A068C5E">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电梯停在门区时，按开门按钮使电梯已经合上或尚未合上的门重新打开</w:t>
            </w:r>
          </w:p>
        </w:tc>
      </w:tr>
      <w:tr w14:paraId="57E6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9" w:type="dxa"/>
            <w:vAlign w:val="center"/>
          </w:tcPr>
          <w:p w14:paraId="4A9209D9">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7</w:t>
            </w:r>
          </w:p>
        </w:tc>
        <w:tc>
          <w:tcPr>
            <w:tcW w:w="2040" w:type="dxa"/>
            <w:vAlign w:val="center"/>
          </w:tcPr>
          <w:p w14:paraId="6C615767">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重复开门</w:t>
            </w:r>
          </w:p>
        </w:tc>
        <w:tc>
          <w:tcPr>
            <w:tcW w:w="5663" w:type="dxa"/>
            <w:vAlign w:val="center"/>
          </w:tcPr>
          <w:p w14:paraId="009EC04B">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如果电梯持无法完成关门操作，则重新开门，重复开门几次后仍无法完成关门操作则输出故障等待修理</w:t>
            </w:r>
          </w:p>
        </w:tc>
      </w:tr>
      <w:tr w14:paraId="75D8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19" w:type="dxa"/>
            <w:vAlign w:val="center"/>
          </w:tcPr>
          <w:p w14:paraId="1252549A">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8</w:t>
            </w:r>
          </w:p>
        </w:tc>
        <w:tc>
          <w:tcPr>
            <w:tcW w:w="2040" w:type="dxa"/>
            <w:vAlign w:val="center"/>
          </w:tcPr>
          <w:p w14:paraId="474052E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检修运行</w:t>
            </w:r>
          </w:p>
        </w:tc>
        <w:tc>
          <w:tcPr>
            <w:tcW w:w="5663" w:type="dxa"/>
            <w:vAlign w:val="center"/>
          </w:tcPr>
          <w:p w14:paraId="1F205977">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拨动检修开关，进入检修运行，按上/下行按钮轿厢以检修速度点动运行，召唤指令不再登记，厅外，轿内显示“停用”</w:t>
            </w:r>
          </w:p>
        </w:tc>
      </w:tr>
      <w:tr w14:paraId="45B5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9" w:type="dxa"/>
            <w:vAlign w:val="center"/>
          </w:tcPr>
          <w:p w14:paraId="52B8C6BB">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9</w:t>
            </w:r>
          </w:p>
        </w:tc>
        <w:tc>
          <w:tcPr>
            <w:tcW w:w="2040" w:type="dxa"/>
            <w:vAlign w:val="center"/>
          </w:tcPr>
          <w:p w14:paraId="7E0DCEB3">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应急照明</w:t>
            </w:r>
          </w:p>
        </w:tc>
        <w:tc>
          <w:tcPr>
            <w:tcW w:w="5663" w:type="dxa"/>
            <w:vAlign w:val="center"/>
          </w:tcPr>
          <w:p w14:paraId="33C11B7A">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停电时轿厢应急照明点亮</w:t>
            </w:r>
          </w:p>
        </w:tc>
      </w:tr>
      <w:tr w14:paraId="6A4F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9" w:type="dxa"/>
            <w:vAlign w:val="center"/>
          </w:tcPr>
          <w:p w14:paraId="1AE786C7">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10</w:t>
            </w:r>
          </w:p>
        </w:tc>
        <w:tc>
          <w:tcPr>
            <w:tcW w:w="2040" w:type="dxa"/>
            <w:vAlign w:val="center"/>
          </w:tcPr>
          <w:p w14:paraId="628B1EAF">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五方通话装置</w:t>
            </w:r>
          </w:p>
        </w:tc>
        <w:tc>
          <w:tcPr>
            <w:tcW w:w="5663" w:type="dxa"/>
            <w:vAlign w:val="center"/>
          </w:tcPr>
          <w:p w14:paraId="4F0FD991">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电梯机房、轿厢、轿顶、底坑和值班室之间通话，做为乘客、维修人员被困求援工具</w:t>
            </w:r>
          </w:p>
        </w:tc>
      </w:tr>
      <w:tr w14:paraId="4857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vAlign w:val="center"/>
          </w:tcPr>
          <w:p w14:paraId="3D057291">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11</w:t>
            </w:r>
          </w:p>
        </w:tc>
        <w:tc>
          <w:tcPr>
            <w:tcW w:w="2040" w:type="dxa"/>
            <w:vAlign w:val="center"/>
          </w:tcPr>
          <w:p w14:paraId="620E4CF9">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错误指令取消</w:t>
            </w:r>
          </w:p>
        </w:tc>
        <w:tc>
          <w:tcPr>
            <w:tcW w:w="5663" w:type="dxa"/>
            <w:vAlign w:val="center"/>
          </w:tcPr>
          <w:p w14:paraId="41594C22">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乘客按下的按钮被登记后，可连按2次该按钮取消登记</w:t>
            </w:r>
          </w:p>
        </w:tc>
      </w:tr>
      <w:tr w14:paraId="5662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9" w:type="dxa"/>
            <w:vAlign w:val="center"/>
          </w:tcPr>
          <w:p w14:paraId="394E990C">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12</w:t>
            </w:r>
          </w:p>
        </w:tc>
        <w:tc>
          <w:tcPr>
            <w:tcW w:w="2040" w:type="dxa"/>
            <w:vAlign w:val="center"/>
          </w:tcPr>
          <w:p w14:paraId="49A16B4E">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反向时自动消指令</w:t>
            </w:r>
          </w:p>
        </w:tc>
        <w:tc>
          <w:tcPr>
            <w:tcW w:w="5663" w:type="dxa"/>
            <w:vAlign w:val="center"/>
          </w:tcPr>
          <w:p w14:paraId="62A8B02C">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当电梯到达最远端层站时，轿内所有反方向的指令登记全部消除</w:t>
            </w:r>
          </w:p>
        </w:tc>
      </w:tr>
      <w:tr w14:paraId="1959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19" w:type="dxa"/>
            <w:vAlign w:val="center"/>
          </w:tcPr>
          <w:p w14:paraId="49F98C6A">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13</w:t>
            </w:r>
          </w:p>
        </w:tc>
        <w:tc>
          <w:tcPr>
            <w:tcW w:w="2040" w:type="dxa"/>
            <w:vAlign w:val="center"/>
          </w:tcPr>
          <w:p w14:paraId="4EAC4146">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满载直驶</w:t>
            </w:r>
          </w:p>
        </w:tc>
        <w:tc>
          <w:tcPr>
            <w:tcW w:w="5663" w:type="dxa"/>
            <w:vAlign w:val="center"/>
          </w:tcPr>
          <w:p w14:paraId="59308B41">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在自动状态满载时，电梯不响应外部召唤指令而只响应轿内指令</w:t>
            </w:r>
          </w:p>
        </w:tc>
      </w:tr>
      <w:tr w14:paraId="015D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19" w:type="dxa"/>
            <w:vAlign w:val="center"/>
          </w:tcPr>
          <w:p w14:paraId="2E6391DD">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14</w:t>
            </w:r>
          </w:p>
        </w:tc>
        <w:tc>
          <w:tcPr>
            <w:tcW w:w="2040" w:type="dxa"/>
            <w:vAlign w:val="center"/>
          </w:tcPr>
          <w:p w14:paraId="4E615A8C">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桥厢照明自动关闭</w:t>
            </w:r>
          </w:p>
        </w:tc>
        <w:tc>
          <w:tcPr>
            <w:tcW w:w="5663" w:type="dxa"/>
            <w:vAlign w:val="center"/>
          </w:tcPr>
          <w:p w14:paraId="2A8540F3">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在规定时间内没有召唤登记，轿厢内的照明将自动关闭，接到召唤信号后启动</w:t>
            </w:r>
          </w:p>
        </w:tc>
      </w:tr>
      <w:tr w14:paraId="5282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19" w:type="dxa"/>
            <w:vAlign w:val="center"/>
          </w:tcPr>
          <w:p w14:paraId="1B42BE67">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15</w:t>
            </w:r>
          </w:p>
        </w:tc>
        <w:tc>
          <w:tcPr>
            <w:tcW w:w="2040" w:type="dxa"/>
            <w:vAlign w:val="center"/>
          </w:tcPr>
          <w:p w14:paraId="3FE92B6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轿厢风扇自动关闭</w:t>
            </w:r>
          </w:p>
        </w:tc>
        <w:tc>
          <w:tcPr>
            <w:tcW w:w="5663" w:type="dxa"/>
            <w:vAlign w:val="center"/>
          </w:tcPr>
          <w:p w14:paraId="3DD6ACC9">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在规定时间内没有召唤登记，轿厢内的风扇将自动关闭，接到召唤信号后启动</w:t>
            </w:r>
          </w:p>
        </w:tc>
      </w:tr>
      <w:tr w14:paraId="4FC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9" w:type="dxa"/>
            <w:vAlign w:val="center"/>
          </w:tcPr>
          <w:p w14:paraId="6B18F958">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16</w:t>
            </w:r>
          </w:p>
        </w:tc>
        <w:tc>
          <w:tcPr>
            <w:tcW w:w="2040" w:type="dxa"/>
            <w:vAlign w:val="center"/>
          </w:tcPr>
          <w:p w14:paraId="76FAC5BF">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自动返基站</w:t>
            </w:r>
          </w:p>
        </w:tc>
        <w:tc>
          <w:tcPr>
            <w:tcW w:w="5663" w:type="dxa"/>
            <w:vAlign w:val="center"/>
          </w:tcPr>
          <w:p w14:paraId="0A6C8AFD">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自动运行状态下，当无指令和召唤超过设定返基站时间，电梯自动返回基站</w:t>
            </w:r>
          </w:p>
        </w:tc>
      </w:tr>
      <w:tr w14:paraId="21DB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9" w:type="dxa"/>
            <w:vAlign w:val="center"/>
          </w:tcPr>
          <w:p w14:paraId="3D9D702B">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17</w:t>
            </w:r>
          </w:p>
        </w:tc>
        <w:tc>
          <w:tcPr>
            <w:tcW w:w="2040" w:type="dxa"/>
            <w:vAlign w:val="center"/>
          </w:tcPr>
          <w:p w14:paraId="2F67C219">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井道数据自学习</w:t>
            </w:r>
          </w:p>
        </w:tc>
        <w:tc>
          <w:tcPr>
            <w:tcW w:w="5663" w:type="dxa"/>
            <w:vAlign w:val="center"/>
          </w:tcPr>
          <w:p w14:paraId="1C973FDD">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学习井道内各种数据(层高，安全开关位置等)，并永久保存这些运行数据</w:t>
            </w:r>
          </w:p>
        </w:tc>
      </w:tr>
      <w:tr w14:paraId="1749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19" w:type="dxa"/>
            <w:vAlign w:val="center"/>
          </w:tcPr>
          <w:p w14:paraId="36EE35A8">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18</w:t>
            </w:r>
          </w:p>
        </w:tc>
        <w:tc>
          <w:tcPr>
            <w:tcW w:w="2040" w:type="dxa"/>
            <w:vAlign w:val="center"/>
          </w:tcPr>
          <w:p w14:paraId="61101B48">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服务层的任意设置</w:t>
            </w:r>
          </w:p>
        </w:tc>
        <w:tc>
          <w:tcPr>
            <w:tcW w:w="5663" w:type="dxa"/>
            <w:vAlign w:val="center"/>
          </w:tcPr>
          <w:p w14:paraId="5E4EBED0">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通过液晶界面设置电梯能停靠哪些层站，并联基站，消防撤离层，锁梯基站，地下楼层等参数</w:t>
            </w:r>
          </w:p>
        </w:tc>
      </w:tr>
      <w:tr w14:paraId="1C2F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9" w:type="dxa"/>
            <w:vAlign w:val="center"/>
          </w:tcPr>
          <w:p w14:paraId="3086D427">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19</w:t>
            </w:r>
          </w:p>
        </w:tc>
        <w:tc>
          <w:tcPr>
            <w:tcW w:w="2040" w:type="dxa"/>
            <w:vAlign w:val="center"/>
          </w:tcPr>
          <w:p w14:paraId="59EC919E">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层楼点阵式显示</w:t>
            </w:r>
          </w:p>
        </w:tc>
        <w:tc>
          <w:tcPr>
            <w:tcW w:w="5663" w:type="dxa"/>
            <w:vAlign w:val="center"/>
          </w:tcPr>
          <w:p w14:paraId="5A924617">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厅外和轿内均采用点阵式层楼显示器，具有字符丰富，显示生动，字行美观等特点</w:t>
            </w:r>
          </w:p>
        </w:tc>
      </w:tr>
      <w:tr w14:paraId="2C38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9" w:type="dxa"/>
            <w:vAlign w:val="center"/>
          </w:tcPr>
          <w:p w14:paraId="14320581">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20</w:t>
            </w:r>
          </w:p>
        </w:tc>
        <w:tc>
          <w:tcPr>
            <w:tcW w:w="2040" w:type="dxa"/>
            <w:vAlign w:val="center"/>
          </w:tcPr>
          <w:p w14:paraId="7A75A0D6">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数字/箭头滚动显示</w:t>
            </w:r>
          </w:p>
        </w:tc>
        <w:tc>
          <w:tcPr>
            <w:tcW w:w="5663" w:type="dxa"/>
            <w:vAlign w:val="center"/>
          </w:tcPr>
          <w:p w14:paraId="72EEDD1C">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厅外和轿内均采用运行时滚动的箭头显示运行的方向</w:t>
            </w:r>
          </w:p>
        </w:tc>
      </w:tr>
      <w:tr w14:paraId="0906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9" w:type="dxa"/>
            <w:vAlign w:val="center"/>
          </w:tcPr>
          <w:p w14:paraId="51C7B39C">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21</w:t>
            </w:r>
          </w:p>
        </w:tc>
        <w:tc>
          <w:tcPr>
            <w:tcW w:w="2040" w:type="dxa"/>
            <w:vAlign w:val="center"/>
          </w:tcPr>
          <w:p w14:paraId="64D7F105">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轿厢位置信号自动更新</w:t>
            </w:r>
          </w:p>
        </w:tc>
        <w:tc>
          <w:tcPr>
            <w:tcW w:w="5663" w:type="dxa"/>
            <w:vAlign w:val="center"/>
          </w:tcPr>
          <w:p w14:paraId="4B968239">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通过对安全开关和每层平层开关的动作点重新确认更新电梯位置数据</w:t>
            </w:r>
          </w:p>
        </w:tc>
      </w:tr>
      <w:tr w14:paraId="582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9" w:type="dxa"/>
            <w:vAlign w:val="center"/>
          </w:tcPr>
          <w:p w14:paraId="5B13759E">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22</w:t>
            </w:r>
          </w:p>
        </w:tc>
        <w:tc>
          <w:tcPr>
            <w:tcW w:w="2040" w:type="dxa"/>
            <w:vAlign w:val="center"/>
          </w:tcPr>
          <w:p w14:paraId="2F6678A6">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锁梯服务</w:t>
            </w:r>
          </w:p>
        </w:tc>
        <w:tc>
          <w:tcPr>
            <w:tcW w:w="5663" w:type="dxa"/>
            <w:vAlign w:val="center"/>
          </w:tcPr>
          <w:p w14:paraId="4CA7D7B3">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锁梯钥匙开关至停梯位，电梯运行停止，复位后电梯重新开始正常运行</w:t>
            </w:r>
          </w:p>
        </w:tc>
      </w:tr>
      <w:tr w14:paraId="6995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19" w:type="dxa"/>
            <w:vAlign w:val="center"/>
          </w:tcPr>
          <w:p w14:paraId="5FA13D52">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23</w:t>
            </w:r>
          </w:p>
        </w:tc>
        <w:tc>
          <w:tcPr>
            <w:tcW w:w="2040" w:type="dxa"/>
            <w:vAlign w:val="center"/>
          </w:tcPr>
          <w:p w14:paraId="53BF4D43">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消防应急返回</w:t>
            </w:r>
          </w:p>
        </w:tc>
        <w:tc>
          <w:tcPr>
            <w:tcW w:w="5663" w:type="dxa"/>
            <w:vAlign w:val="center"/>
          </w:tcPr>
          <w:p w14:paraId="03AC5919">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主层站上的消防开关被启动，所有召唤均被取消，电梯立即驶往消防撤离站停靠、开门</w:t>
            </w:r>
          </w:p>
        </w:tc>
      </w:tr>
      <w:tr w14:paraId="6E4F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19" w:type="dxa"/>
            <w:vAlign w:val="center"/>
          </w:tcPr>
          <w:p w14:paraId="2ECD5B62">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24</w:t>
            </w:r>
          </w:p>
        </w:tc>
        <w:tc>
          <w:tcPr>
            <w:tcW w:w="2040" w:type="dxa"/>
            <w:vAlign w:val="center"/>
          </w:tcPr>
          <w:p w14:paraId="48A955C7">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门安全光幕保护</w:t>
            </w:r>
          </w:p>
        </w:tc>
        <w:tc>
          <w:tcPr>
            <w:tcW w:w="5663" w:type="dxa"/>
            <w:vAlign w:val="center"/>
          </w:tcPr>
          <w:p w14:paraId="3642300B">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在关门过程中，基本覆盖整个门高度的近百束红外光探测乘客和物体的门保护装置</w:t>
            </w:r>
          </w:p>
        </w:tc>
      </w:tr>
      <w:tr w14:paraId="524D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19" w:type="dxa"/>
            <w:vAlign w:val="center"/>
          </w:tcPr>
          <w:p w14:paraId="23177F89">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25</w:t>
            </w:r>
          </w:p>
        </w:tc>
        <w:tc>
          <w:tcPr>
            <w:tcW w:w="2040" w:type="dxa"/>
            <w:vAlign w:val="center"/>
          </w:tcPr>
          <w:p w14:paraId="7163917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超载保护措施</w:t>
            </w:r>
          </w:p>
        </w:tc>
        <w:tc>
          <w:tcPr>
            <w:tcW w:w="5663" w:type="dxa"/>
            <w:vAlign w:val="center"/>
          </w:tcPr>
          <w:p w14:paraId="6202AFA8">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当轿厢超载时，电梯不关门且蜂鸣器鸣响，同时轿内LED显示“超载”字符</w:t>
            </w:r>
          </w:p>
        </w:tc>
      </w:tr>
      <w:tr w14:paraId="1F04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9" w:type="dxa"/>
            <w:vAlign w:val="center"/>
          </w:tcPr>
          <w:p w14:paraId="5D5C625C">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26</w:t>
            </w:r>
          </w:p>
        </w:tc>
        <w:tc>
          <w:tcPr>
            <w:tcW w:w="2040" w:type="dxa"/>
            <w:vAlign w:val="center"/>
          </w:tcPr>
          <w:p w14:paraId="503C0CB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逆向运行保护</w:t>
            </w:r>
          </w:p>
        </w:tc>
        <w:tc>
          <w:tcPr>
            <w:tcW w:w="5663" w:type="dxa"/>
            <w:vAlign w:val="center"/>
          </w:tcPr>
          <w:p w14:paraId="779A76BF">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系统检测到电梯3秒钟运行的方向与指令方向不一致时立即紧急停车，故障报警</w:t>
            </w:r>
          </w:p>
        </w:tc>
      </w:tr>
      <w:tr w14:paraId="167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9" w:type="dxa"/>
            <w:vAlign w:val="center"/>
          </w:tcPr>
          <w:p w14:paraId="4024C068">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27</w:t>
            </w:r>
          </w:p>
        </w:tc>
        <w:tc>
          <w:tcPr>
            <w:tcW w:w="2040" w:type="dxa"/>
            <w:vAlign w:val="center"/>
          </w:tcPr>
          <w:p w14:paraId="1D6D121A">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防打滑保护</w:t>
            </w:r>
          </w:p>
        </w:tc>
        <w:tc>
          <w:tcPr>
            <w:tcW w:w="5663" w:type="dxa"/>
            <w:vAlign w:val="center"/>
          </w:tcPr>
          <w:p w14:paraId="7AD8E0B9">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系统检测到钢丝绳打滑将停止轿厢一切运行，故障报警</w:t>
            </w:r>
          </w:p>
        </w:tc>
      </w:tr>
      <w:tr w14:paraId="2C2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19" w:type="dxa"/>
            <w:vAlign w:val="center"/>
          </w:tcPr>
          <w:p w14:paraId="71CD5305">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28</w:t>
            </w:r>
          </w:p>
        </w:tc>
        <w:tc>
          <w:tcPr>
            <w:tcW w:w="2040" w:type="dxa"/>
            <w:vAlign w:val="center"/>
          </w:tcPr>
          <w:p w14:paraId="366DB0D1">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防溜车保护</w:t>
            </w:r>
          </w:p>
        </w:tc>
        <w:tc>
          <w:tcPr>
            <w:tcW w:w="5663" w:type="dxa"/>
            <w:vAlign w:val="center"/>
          </w:tcPr>
          <w:p w14:paraId="09F8A50E">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系统检测到在电梯停梯时，连续3秒钟有反馈脉冲产生，并且平层信号发生变化，就判定电梯发生溜车，立即停止轿厢一切运行，故障报警</w:t>
            </w:r>
          </w:p>
        </w:tc>
      </w:tr>
      <w:tr w14:paraId="7483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9" w:type="dxa"/>
            <w:vAlign w:val="center"/>
          </w:tcPr>
          <w:p w14:paraId="767D4F93">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29</w:t>
            </w:r>
          </w:p>
        </w:tc>
        <w:tc>
          <w:tcPr>
            <w:tcW w:w="2040" w:type="dxa"/>
            <w:vAlign w:val="center"/>
          </w:tcPr>
          <w:p w14:paraId="53DDBA5C">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防捣乱功能</w:t>
            </w:r>
          </w:p>
        </w:tc>
        <w:tc>
          <w:tcPr>
            <w:tcW w:w="5663" w:type="dxa"/>
            <w:vAlign w:val="center"/>
          </w:tcPr>
          <w:p w14:paraId="5BE73DFB">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轿内乘客人数较少时，轿内登记超过6个楼层则取消轿内呼梯登记</w:t>
            </w:r>
          </w:p>
        </w:tc>
      </w:tr>
      <w:tr w14:paraId="34DB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19" w:type="dxa"/>
            <w:vAlign w:val="center"/>
          </w:tcPr>
          <w:p w14:paraId="58774979">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30</w:t>
            </w:r>
          </w:p>
        </w:tc>
        <w:tc>
          <w:tcPr>
            <w:tcW w:w="2040" w:type="dxa"/>
            <w:vAlign w:val="center"/>
          </w:tcPr>
          <w:p w14:paraId="125224B9">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防终端越程保护</w:t>
            </w:r>
          </w:p>
        </w:tc>
        <w:tc>
          <w:tcPr>
            <w:tcW w:w="5663" w:type="dxa"/>
            <w:vAlign w:val="center"/>
          </w:tcPr>
          <w:p w14:paraId="6043BA1C">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电梯的上下终端都装有终端减速开关、极限开关以保护电梯不会越程</w:t>
            </w:r>
          </w:p>
        </w:tc>
      </w:tr>
      <w:tr w14:paraId="1BE5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19" w:type="dxa"/>
            <w:vAlign w:val="center"/>
          </w:tcPr>
          <w:p w14:paraId="1EA381E8">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31</w:t>
            </w:r>
          </w:p>
        </w:tc>
        <w:tc>
          <w:tcPr>
            <w:tcW w:w="2040" w:type="dxa"/>
            <w:vAlign w:val="center"/>
          </w:tcPr>
          <w:p w14:paraId="6A2ABEDE">
            <w:pPr>
              <w:numPr>
                <w:ilvl w:val="0"/>
                <w:numId w:val="0"/>
              </w:numPr>
              <w:jc w:val="center"/>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停电应急平层装置</w:t>
            </w:r>
          </w:p>
        </w:tc>
        <w:tc>
          <w:tcPr>
            <w:tcW w:w="5663" w:type="dxa"/>
            <w:vAlign w:val="center"/>
          </w:tcPr>
          <w:p w14:paraId="2D075C56">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停电后，充电式电池提供电梯电源，电梯驶往最近楼层平层，开站疏散乘客</w:t>
            </w:r>
          </w:p>
        </w:tc>
      </w:tr>
      <w:tr w14:paraId="508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19" w:type="dxa"/>
            <w:vAlign w:val="center"/>
          </w:tcPr>
          <w:p w14:paraId="69A28BAD">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32</w:t>
            </w:r>
          </w:p>
        </w:tc>
        <w:tc>
          <w:tcPr>
            <w:tcW w:w="2040" w:type="dxa"/>
            <w:vAlign w:val="center"/>
          </w:tcPr>
          <w:p w14:paraId="34E3EFEE">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消防应急操作</w:t>
            </w:r>
          </w:p>
        </w:tc>
        <w:tc>
          <w:tcPr>
            <w:tcW w:w="5663" w:type="dxa"/>
            <w:vAlign w:val="center"/>
          </w:tcPr>
          <w:p w14:paraId="058E453A">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消防开关启动后，所有召唤均被取消，作为救援电梯只应答轿内召唤</w:t>
            </w:r>
          </w:p>
        </w:tc>
      </w:tr>
      <w:tr w14:paraId="0F64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19" w:type="dxa"/>
            <w:vAlign w:val="center"/>
          </w:tcPr>
          <w:p w14:paraId="6888575A">
            <w:p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33</w:t>
            </w:r>
          </w:p>
        </w:tc>
        <w:tc>
          <w:tcPr>
            <w:tcW w:w="2040" w:type="dxa"/>
            <w:vAlign w:val="center"/>
          </w:tcPr>
          <w:p w14:paraId="38081A99">
            <w:pPr>
              <w:numPr>
                <w:ilvl w:val="0"/>
                <w:numId w:val="0"/>
              </w:numPr>
              <w:jc w:val="center"/>
              <w:rPr>
                <w:rFonts w:hint="default"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门保持功能</w:t>
            </w:r>
          </w:p>
        </w:tc>
        <w:tc>
          <w:tcPr>
            <w:tcW w:w="5663" w:type="dxa"/>
            <w:vAlign w:val="center"/>
          </w:tcPr>
          <w:p w14:paraId="5D7EB712">
            <w:pPr>
              <w:numPr>
                <w:ilvl w:val="0"/>
                <w:numId w:val="0"/>
              </w:numPr>
              <w:jc w:val="left"/>
              <w:rPr>
                <w:rFonts w:hint="eastAsia" w:asciiTheme="minorEastAsia" w:hAnsiTheme="minorEastAsia" w:cstheme="minorEastAsia"/>
                <w:b w:val="0"/>
                <w:bCs w:val="0"/>
                <w:sz w:val="21"/>
                <w:szCs w:val="24"/>
                <w:vertAlign w:val="baseline"/>
                <w:lang w:val="en-US" w:eastAsia="zh-CN"/>
              </w:rPr>
            </w:pPr>
            <w:r>
              <w:rPr>
                <w:rFonts w:hint="eastAsia" w:asciiTheme="minorEastAsia" w:hAnsiTheme="minorEastAsia" w:cstheme="minorEastAsia"/>
                <w:b w:val="0"/>
                <w:bCs w:val="0"/>
                <w:sz w:val="21"/>
                <w:szCs w:val="24"/>
                <w:vertAlign w:val="baseline"/>
                <w:lang w:val="en-US" w:eastAsia="zh-CN"/>
              </w:rPr>
              <w:t>电梯保持开门状态，直至超过设定时间</w:t>
            </w:r>
          </w:p>
        </w:tc>
      </w:tr>
    </w:tbl>
    <w:p w14:paraId="5616C20D">
      <w:pPr>
        <w:jc w:val="center"/>
        <w:rPr>
          <w:rFonts w:hint="eastAsia" w:asciiTheme="minorEastAsia" w:hAnsiTheme="minorEastAsia" w:eastAsiaTheme="minorEastAsia" w:cstheme="minorEastAsia"/>
          <w:b/>
          <w:bCs/>
          <w:sz w:val="24"/>
          <w:szCs w:val="32"/>
        </w:rPr>
      </w:pPr>
    </w:p>
    <w:p w14:paraId="3A4B408A">
      <w:pPr>
        <w:rPr>
          <w:highlight w:val="none"/>
        </w:rPr>
      </w:pPr>
      <w:r>
        <w:rPr>
          <w:rStyle w:val="249"/>
          <w:rFonts w:hint="eastAsia" w:asciiTheme="minorEastAsia" w:hAnsiTheme="minorEastAsia" w:eastAsiaTheme="minorEastAsia" w:cstheme="minorEastAsia"/>
          <w:color w:val="auto"/>
          <w:kern w:val="0"/>
          <w:sz w:val="24"/>
          <w:szCs w:val="24"/>
          <w:highlight w:val="none"/>
          <w:lang w:val="en-US" w:eastAsia="zh-CN"/>
        </w:rPr>
        <w:br w:type="page"/>
      </w:r>
    </w:p>
    <w:p w14:paraId="352EE5F6">
      <w:pPr>
        <w:pStyle w:val="56"/>
        <w:rPr>
          <w:highlight w:val="none"/>
        </w:rPr>
      </w:pPr>
    </w:p>
    <w:p w14:paraId="222AC7C4">
      <w:pPr>
        <w:jc w:val="both"/>
        <w:rPr>
          <w:rFonts w:eastAsia="黑体"/>
          <w:color w:val="auto"/>
          <w:sz w:val="72"/>
          <w:szCs w:val="72"/>
          <w:highlight w:val="none"/>
        </w:rPr>
      </w:pPr>
    </w:p>
    <w:p w14:paraId="3997B9A1">
      <w:pPr>
        <w:jc w:val="center"/>
        <w:rPr>
          <w:rFonts w:eastAsia="黑体"/>
          <w:color w:val="auto"/>
          <w:sz w:val="72"/>
          <w:szCs w:val="72"/>
          <w:highlight w:val="none"/>
        </w:rPr>
      </w:pPr>
    </w:p>
    <w:p w14:paraId="570F4911">
      <w:pPr>
        <w:jc w:val="center"/>
        <w:rPr>
          <w:rFonts w:eastAsia="黑体"/>
          <w:color w:val="auto"/>
          <w:sz w:val="72"/>
          <w:szCs w:val="72"/>
          <w:highlight w:val="none"/>
        </w:rPr>
      </w:pPr>
    </w:p>
    <w:p w14:paraId="0D43994C">
      <w:pPr>
        <w:jc w:val="center"/>
        <w:rPr>
          <w:rFonts w:eastAsia="黑体"/>
          <w:color w:val="auto"/>
          <w:sz w:val="72"/>
          <w:szCs w:val="72"/>
          <w:highlight w:val="none"/>
        </w:rPr>
      </w:pPr>
    </w:p>
    <w:p w14:paraId="42F2128B">
      <w:pPr>
        <w:jc w:val="center"/>
        <w:rPr>
          <w:rFonts w:eastAsia="黑体"/>
          <w:color w:val="auto"/>
          <w:sz w:val="72"/>
          <w:szCs w:val="72"/>
          <w:highlight w:val="none"/>
        </w:rPr>
      </w:pPr>
    </w:p>
    <w:p w14:paraId="13BB8B70">
      <w:pPr>
        <w:jc w:val="center"/>
        <w:rPr>
          <w:rFonts w:eastAsia="黑体"/>
          <w:color w:val="auto"/>
          <w:sz w:val="72"/>
          <w:szCs w:val="72"/>
          <w:highlight w:val="none"/>
        </w:rPr>
      </w:pPr>
      <w:r>
        <w:rPr>
          <w:rFonts w:eastAsia="黑体"/>
          <w:color w:val="auto"/>
          <w:sz w:val="72"/>
          <w:szCs w:val="72"/>
          <w:highlight w:val="none"/>
        </w:rPr>
        <w:t>第</w:t>
      </w:r>
      <w:r>
        <w:rPr>
          <w:rFonts w:hint="eastAsia" w:eastAsia="黑体"/>
          <w:color w:val="auto"/>
          <w:sz w:val="72"/>
          <w:szCs w:val="72"/>
          <w:highlight w:val="none"/>
        </w:rPr>
        <w:t>三</w:t>
      </w:r>
      <w:r>
        <w:rPr>
          <w:rFonts w:eastAsia="黑体"/>
          <w:color w:val="auto"/>
          <w:sz w:val="72"/>
          <w:szCs w:val="72"/>
          <w:highlight w:val="none"/>
        </w:rPr>
        <w:t>卷</w:t>
      </w:r>
    </w:p>
    <w:p w14:paraId="1915B138">
      <w:pPr>
        <w:spacing w:line="420" w:lineRule="exact"/>
        <w:jc w:val="center"/>
        <w:rPr>
          <w:rFonts w:eastAsia="黑体"/>
          <w:color w:val="auto"/>
          <w:sz w:val="36"/>
          <w:szCs w:val="36"/>
          <w:highlight w:val="none"/>
        </w:rPr>
        <w:sectPr>
          <w:headerReference r:id="rId21" w:type="default"/>
          <w:footerReference r:id="rId22" w:type="default"/>
          <w:pgSz w:w="11907" w:h="16840"/>
          <w:pgMar w:top="1191" w:right="1361" w:bottom="1077" w:left="1531" w:header="777" w:footer="652" w:gutter="0"/>
          <w:pgNumType w:fmt="decimal"/>
          <w:cols w:space="0" w:num="1"/>
          <w:rtlGutter w:val="0"/>
          <w:docGrid w:type="lines" w:linePitch="290" w:charSpace="0"/>
        </w:sectPr>
      </w:pPr>
    </w:p>
    <w:p w14:paraId="0D0CE31E">
      <w:pPr>
        <w:spacing w:line="420" w:lineRule="exact"/>
        <w:jc w:val="center"/>
        <w:rPr>
          <w:rFonts w:eastAsia="黑体"/>
          <w:color w:val="auto"/>
          <w:sz w:val="48"/>
          <w:szCs w:val="48"/>
          <w:highlight w:val="none"/>
        </w:rPr>
      </w:pPr>
    </w:p>
    <w:p w14:paraId="1BE4D892">
      <w:pPr>
        <w:spacing w:line="420" w:lineRule="exact"/>
        <w:jc w:val="center"/>
        <w:rPr>
          <w:rFonts w:eastAsia="黑体"/>
          <w:color w:val="auto"/>
          <w:sz w:val="48"/>
          <w:szCs w:val="48"/>
          <w:highlight w:val="none"/>
        </w:rPr>
      </w:pPr>
    </w:p>
    <w:p w14:paraId="35C2AB36">
      <w:pPr>
        <w:spacing w:line="420" w:lineRule="exact"/>
        <w:jc w:val="center"/>
        <w:rPr>
          <w:rFonts w:eastAsia="黑体"/>
          <w:color w:val="auto"/>
          <w:sz w:val="48"/>
          <w:szCs w:val="48"/>
          <w:highlight w:val="none"/>
        </w:rPr>
      </w:pPr>
    </w:p>
    <w:p w14:paraId="68D110F5">
      <w:pPr>
        <w:spacing w:line="420" w:lineRule="exact"/>
        <w:jc w:val="center"/>
        <w:rPr>
          <w:rFonts w:eastAsia="黑体"/>
          <w:color w:val="auto"/>
          <w:sz w:val="48"/>
          <w:szCs w:val="48"/>
          <w:highlight w:val="none"/>
        </w:rPr>
      </w:pPr>
    </w:p>
    <w:p w14:paraId="0B902996">
      <w:pPr>
        <w:spacing w:line="420" w:lineRule="exact"/>
        <w:jc w:val="center"/>
        <w:rPr>
          <w:rFonts w:eastAsia="黑体"/>
          <w:color w:val="auto"/>
          <w:sz w:val="48"/>
          <w:szCs w:val="48"/>
          <w:highlight w:val="none"/>
        </w:rPr>
      </w:pPr>
    </w:p>
    <w:p w14:paraId="1C87A854">
      <w:pPr>
        <w:spacing w:line="420" w:lineRule="exact"/>
        <w:jc w:val="center"/>
        <w:rPr>
          <w:rFonts w:eastAsia="黑体"/>
          <w:color w:val="auto"/>
          <w:sz w:val="48"/>
          <w:szCs w:val="48"/>
          <w:highlight w:val="none"/>
        </w:rPr>
      </w:pPr>
    </w:p>
    <w:p w14:paraId="6DD98531">
      <w:pPr>
        <w:spacing w:line="420" w:lineRule="exact"/>
        <w:jc w:val="center"/>
        <w:rPr>
          <w:rFonts w:eastAsia="黑体"/>
          <w:color w:val="auto"/>
          <w:sz w:val="48"/>
          <w:szCs w:val="48"/>
          <w:highlight w:val="none"/>
        </w:rPr>
      </w:pPr>
    </w:p>
    <w:p w14:paraId="757E044D">
      <w:pPr>
        <w:spacing w:line="420" w:lineRule="exact"/>
        <w:jc w:val="center"/>
        <w:rPr>
          <w:rFonts w:eastAsia="黑体"/>
          <w:color w:val="auto"/>
          <w:sz w:val="48"/>
          <w:szCs w:val="48"/>
          <w:highlight w:val="none"/>
        </w:rPr>
      </w:pPr>
    </w:p>
    <w:p w14:paraId="37E14C76">
      <w:pPr>
        <w:spacing w:line="420" w:lineRule="exact"/>
        <w:jc w:val="center"/>
        <w:rPr>
          <w:rFonts w:eastAsia="黑体"/>
          <w:color w:val="auto"/>
          <w:sz w:val="48"/>
          <w:szCs w:val="48"/>
          <w:highlight w:val="none"/>
        </w:rPr>
      </w:pPr>
    </w:p>
    <w:p w14:paraId="6AD03051">
      <w:pPr>
        <w:spacing w:line="420" w:lineRule="exact"/>
        <w:jc w:val="both"/>
        <w:rPr>
          <w:rFonts w:eastAsia="黑体"/>
          <w:color w:val="auto"/>
          <w:sz w:val="48"/>
          <w:szCs w:val="48"/>
          <w:highlight w:val="none"/>
        </w:rPr>
      </w:pPr>
    </w:p>
    <w:p w14:paraId="71B420D0">
      <w:pPr>
        <w:jc w:val="center"/>
        <w:rPr>
          <w:rFonts w:eastAsia="黑体"/>
          <w:color w:val="auto"/>
          <w:sz w:val="48"/>
          <w:szCs w:val="48"/>
          <w:highlight w:val="none"/>
        </w:rPr>
      </w:pPr>
    </w:p>
    <w:p w14:paraId="69A6CF77">
      <w:pPr>
        <w:pStyle w:val="43"/>
        <w:rPr>
          <w:color w:val="auto"/>
          <w:highlight w:val="none"/>
        </w:rPr>
      </w:pPr>
    </w:p>
    <w:p w14:paraId="2A0B057D">
      <w:pPr>
        <w:jc w:val="center"/>
        <w:rPr>
          <w:rFonts w:eastAsia="黑体"/>
          <w:color w:val="auto"/>
          <w:sz w:val="48"/>
          <w:szCs w:val="48"/>
          <w:highlight w:val="none"/>
        </w:rPr>
      </w:pPr>
    </w:p>
    <w:p w14:paraId="40785E0E">
      <w:pPr>
        <w:jc w:val="center"/>
        <w:rPr>
          <w:rFonts w:eastAsia="黑体"/>
          <w:color w:val="auto"/>
          <w:sz w:val="32"/>
          <w:szCs w:val="32"/>
          <w:highlight w:val="none"/>
        </w:rPr>
        <w:sectPr>
          <w:headerReference r:id="rId23" w:type="default"/>
          <w:pgSz w:w="11907" w:h="16840"/>
          <w:pgMar w:top="1191" w:right="1361" w:bottom="1077" w:left="1531" w:header="777" w:footer="652" w:gutter="0"/>
          <w:pgNumType w:fmt="decimal"/>
          <w:cols w:space="0" w:num="1"/>
          <w:rtlGutter w:val="0"/>
          <w:docGrid w:type="lines" w:linePitch="290" w:charSpace="0"/>
        </w:sectPr>
      </w:pPr>
      <w:r>
        <w:rPr>
          <w:rFonts w:eastAsia="黑体"/>
          <w:color w:val="auto"/>
          <w:sz w:val="48"/>
          <w:szCs w:val="48"/>
          <w:highlight w:val="none"/>
        </w:rPr>
        <w:t>第</w:t>
      </w:r>
      <w:r>
        <w:rPr>
          <w:rFonts w:hint="eastAsia" w:eastAsia="黑体"/>
          <w:color w:val="auto"/>
          <w:sz w:val="48"/>
          <w:szCs w:val="48"/>
          <w:highlight w:val="none"/>
        </w:rPr>
        <w:t>六</w:t>
      </w:r>
      <w:r>
        <w:rPr>
          <w:rFonts w:eastAsia="黑体"/>
          <w:color w:val="auto"/>
          <w:sz w:val="48"/>
          <w:szCs w:val="48"/>
          <w:highlight w:val="none"/>
        </w:rPr>
        <w:t>章</w:t>
      </w:r>
      <w:r>
        <w:rPr>
          <w:rFonts w:hint="eastAsia" w:eastAsia="黑体"/>
          <w:color w:val="auto"/>
          <w:sz w:val="48"/>
          <w:szCs w:val="48"/>
          <w:highlight w:val="none"/>
        </w:rPr>
        <w:t xml:space="preserve"> </w:t>
      </w:r>
      <w:r>
        <w:rPr>
          <w:rFonts w:eastAsia="黑体"/>
          <w:color w:val="auto"/>
          <w:sz w:val="48"/>
          <w:szCs w:val="48"/>
          <w:highlight w:val="none"/>
        </w:rPr>
        <w:t>投标文件格式</w:t>
      </w:r>
    </w:p>
    <w:p w14:paraId="183A9EE7">
      <w:pPr>
        <w:rPr>
          <w:b/>
          <w:color w:val="auto"/>
          <w:sz w:val="32"/>
          <w:szCs w:val="32"/>
          <w:highlight w:val="none"/>
        </w:rPr>
      </w:pPr>
      <w:r>
        <w:rPr>
          <w:b/>
          <w:color w:val="auto"/>
          <w:sz w:val="24"/>
          <w:highlight w:val="none"/>
        </w:rPr>
        <w:t>投标文件外包封格式</w:t>
      </w:r>
    </w:p>
    <w:p w14:paraId="3F40AFE7">
      <w:pPr>
        <w:tabs>
          <w:tab w:val="left" w:pos="6264"/>
        </w:tabs>
        <w:rPr>
          <w:b/>
          <w:color w:val="auto"/>
          <w:kern w:val="0"/>
          <w:sz w:val="36"/>
          <w:szCs w:val="44"/>
          <w:highlight w:val="none"/>
        </w:rPr>
      </w:pPr>
    </w:p>
    <w:p w14:paraId="5DC16083">
      <w:pPr>
        <w:tabs>
          <w:tab w:val="left" w:pos="6264"/>
        </w:tabs>
        <w:rPr>
          <w:b/>
          <w:color w:val="auto"/>
          <w:kern w:val="0"/>
          <w:sz w:val="36"/>
          <w:szCs w:val="44"/>
          <w:highlight w:val="none"/>
        </w:rPr>
      </w:pPr>
    </w:p>
    <w:p w14:paraId="7274C0F9">
      <w:pPr>
        <w:pStyle w:val="2"/>
        <w:rPr>
          <w:rFonts w:hint="default" w:ascii="Times New Roman" w:hAnsi="Times New Roman" w:eastAsia="宋体" w:cs="Times New Roman"/>
          <w:b/>
          <w:color w:val="auto"/>
          <w:kern w:val="0"/>
          <w:sz w:val="32"/>
          <w:szCs w:val="32"/>
          <w:highlight w:val="none"/>
          <w:lang w:val="en-US" w:eastAsia="zh-CN" w:bidi="ar-SA"/>
        </w:rPr>
      </w:pPr>
      <w:r>
        <w:rPr>
          <w:rFonts w:hint="eastAsia"/>
          <w:b/>
          <w:color w:val="auto"/>
          <w:kern w:val="0"/>
          <w:sz w:val="44"/>
          <w:szCs w:val="44"/>
          <w:highlight w:val="none"/>
          <w:lang w:eastAsia="zh-CN"/>
        </w:rPr>
        <w:t>平房区新华村(三家子屯)城中村改造项目回迁安置工程项目施工(第一阶段)-电梯采购及安装</w:t>
      </w:r>
    </w:p>
    <w:p w14:paraId="6D0C902B">
      <w:pPr>
        <w:pStyle w:val="2"/>
        <w:rPr>
          <w:highlight w:val="none"/>
        </w:rPr>
      </w:pPr>
    </w:p>
    <w:p w14:paraId="35790EDD">
      <w:pPr>
        <w:jc w:val="center"/>
        <w:rPr>
          <w:b/>
          <w:color w:val="auto"/>
          <w:sz w:val="72"/>
          <w:szCs w:val="72"/>
          <w:highlight w:val="none"/>
        </w:rPr>
      </w:pPr>
      <w:r>
        <w:rPr>
          <w:b/>
          <w:color w:val="auto"/>
          <w:sz w:val="72"/>
          <w:szCs w:val="72"/>
          <w:highlight w:val="none"/>
        </w:rPr>
        <w:t>投标文件</w:t>
      </w:r>
    </w:p>
    <w:p w14:paraId="4B37072F">
      <w:pPr>
        <w:spacing w:before="272" w:beforeLines="100" w:after="272" w:afterLines="100" w:line="480" w:lineRule="auto"/>
        <w:ind w:firstLine="2249" w:firstLineChars="700"/>
        <w:rPr>
          <w:b/>
          <w:color w:val="auto"/>
          <w:kern w:val="0"/>
          <w:sz w:val="32"/>
          <w:szCs w:val="32"/>
          <w:highlight w:val="none"/>
        </w:rPr>
      </w:pPr>
      <w:r>
        <w:rPr>
          <w:b/>
          <w:color w:val="auto"/>
          <w:kern w:val="0"/>
          <w:sz w:val="32"/>
          <w:szCs w:val="32"/>
          <w:highlight w:val="none"/>
        </w:rPr>
        <w:t>商务标或技术标或资格审查部分</w:t>
      </w:r>
    </w:p>
    <w:p w14:paraId="4232F7A6">
      <w:pPr>
        <w:ind w:firstLine="2570" w:firstLineChars="800"/>
        <w:rPr>
          <w:b/>
          <w:color w:val="auto"/>
          <w:kern w:val="0"/>
          <w:sz w:val="32"/>
          <w:szCs w:val="32"/>
          <w:highlight w:val="none"/>
        </w:rPr>
      </w:pPr>
      <w:r>
        <w:rPr>
          <w:b/>
          <w:color w:val="auto"/>
          <w:kern w:val="0"/>
          <w:sz w:val="32"/>
          <w:szCs w:val="32"/>
          <w:highlight w:val="none"/>
        </w:rPr>
        <w:t>项目编号：</w:t>
      </w:r>
    </w:p>
    <w:p w14:paraId="3EECE1A8">
      <w:pPr>
        <w:pStyle w:val="43"/>
        <w:ind w:firstLine="321"/>
        <w:rPr>
          <w:b/>
          <w:color w:val="auto"/>
          <w:kern w:val="0"/>
          <w:sz w:val="32"/>
          <w:szCs w:val="32"/>
          <w:highlight w:val="none"/>
        </w:rPr>
      </w:pPr>
    </w:p>
    <w:p w14:paraId="10DF2565">
      <w:pPr>
        <w:rPr>
          <w:color w:val="auto"/>
          <w:highlight w:val="none"/>
        </w:rPr>
      </w:pPr>
    </w:p>
    <w:p w14:paraId="5D13D11C">
      <w:pPr>
        <w:spacing w:before="136" w:beforeLines="50" w:after="136" w:afterLines="50"/>
        <w:rPr>
          <w:b/>
          <w:color w:val="auto"/>
          <w:sz w:val="32"/>
          <w:szCs w:val="32"/>
          <w:highlight w:val="none"/>
        </w:rPr>
      </w:pPr>
      <w:r>
        <w:rPr>
          <w:b/>
          <w:bCs/>
          <w:color w:val="auto"/>
          <w:spacing w:val="60"/>
          <w:kern w:val="0"/>
          <w:sz w:val="28"/>
          <w:szCs w:val="28"/>
          <w:highlight w:val="none"/>
        </w:rPr>
        <w:t>项目名</w:t>
      </w:r>
      <w:r>
        <w:rPr>
          <w:b/>
          <w:bCs/>
          <w:color w:val="auto"/>
          <w:kern w:val="0"/>
          <w:sz w:val="28"/>
          <w:szCs w:val="28"/>
          <w:highlight w:val="none"/>
        </w:rPr>
        <w:t>称</w:t>
      </w:r>
      <w:r>
        <w:rPr>
          <w:b/>
          <w:bCs/>
          <w:color w:val="auto"/>
          <w:sz w:val="28"/>
          <w:szCs w:val="28"/>
          <w:highlight w:val="none"/>
        </w:rPr>
        <w:t>：</w:t>
      </w:r>
    </w:p>
    <w:p w14:paraId="65DA2A49">
      <w:pPr>
        <w:spacing w:before="272" w:beforeLines="100" w:after="272" w:afterLines="100"/>
        <w:rPr>
          <w:b/>
          <w:color w:val="auto"/>
          <w:sz w:val="28"/>
          <w:szCs w:val="28"/>
          <w:highlight w:val="none"/>
        </w:rPr>
      </w:pPr>
      <w:r>
        <w:rPr>
          <w:b/>
          <w:color w:val="auto"/>
          <w:sz w:val="28"/>
          <w:szCs w:val="28"/>
          <w:highlight w:val="none"/>
        </w:rPr>
        <w:t>招标人：</w:t>
      </w:r>
    </w:p>
    <w:p w14:paraId="5D54F763">
      <w:pPr>
        <w:spacing w:before="272" w:beforeLines="100" w:after="272" w:afterLines="100"/>
        <w:rPr>
          <w:b/>
          <w:color w:val="auto"/>
          <w:sz w:val="28"/>
          <w:szCs w:val="28"/>
          <w:highlight w:val="none"/>
        </w:rPr>
      </w:pPr>
      <w:r>
        <w:rPr>
          <w:rFonts w:hint="eastAsia"/>
          <w:b/>
          <w:color w:val="auto"/>
          <w:sz w:val="28"/>
          <w:szCs w:val="28"/>
          <w:highlight w:val="none"/>
        </w:rPr>
        <w:t>投</w:t>
      </w:r>
      <w:r>
        <w:rPr>
          <w:b/>
          <w:color w:val="auto"/>
          <w:sz w:val="28"/>
          <w:szCs w:val="28"/>
          <w:highlight w:val="none"/>
        </w:rPr>
        <w:t>标人：</w:t>
      </w:r>
    </w:p>
    <w:p w14:paraId="5C05BAAC">
      <w:pPr>
        <w:spacing w:before="272" w:beforeLines="100" w:after="272" w:afterLines="100"/>
        <w:rPr>
          <w:b/>
          <w:color w:val="auto"/>
          <w:sz w:val="28"/>
          <w:szCs w:val="28"/>
          <w:highlight w:val="none"/>
        </w:rPr>
      </w:pPr>
      <w:r>
        <w:rPr>
          <w:rFonts w:hint="eastAsia"/>
          <w:b/>
          <w:color w:val="auto"/>
          <w:sz w:val="28"/>
          <w:szCs w:val="28"/>
          <w:highlight w:val="none"/>
        </w:rPr>
        <w:t>投</w:t>
      </w:r>
      <w:r>
        <w:rPr>
          <w:b/>
          <w:color w:val="auto"/>
          <w:sz w:val="28"/>
          <w:szCs w:val="28"/>
          <w:highlight w:val="none"/>
        </w:rPr>
        <w:t>标人地址：</w:t>
      </w:r>
    </w:p>
    <w:p w14:paraId="212C9A2A">
      <w:pPr>
        <w:spacing w:before="272" w:beforeLines="100" w:after="272" w:afterLines="100" w:line="760" w:lineRule="atLeast"/>
        <w:jc w:val="center"/>
        <w:rPr>
          <w:b/>
          <w:color w:val="auto"/>
          <w:sz w:val="32"/>
          <w:szCs w:val="32"/>
          <w:highlight w:val="none"/>
        </w:rPr>
      </w:pPr>
      <w:r>
        <w:rPr>
          <w:b/>
          <w:color w:val="auto"/>
          <w:sz w:val="32"/>
          <w:szCs w:val="32"/>
          <w:highlight w:val="none"/>
        </w:rPr>
        <w:t>注：  年</w:t>
      </w:r>
      <w:r>
        <w:rPr>
          <w:rFonts w:hint="eastAsia"/>
          <w:b/>
          <w:color w:val="auto"/>
          <w:sz w:val="32"/>
          <w:szCs w:val="32"/>
          <w:highlight w:val="none"/>
        </w:rPr>
        <w:t xml:space="preserve"> </w:t>
      </w:r>
      <w:r>
        <w:rPr>
          <w:b/>
          <w:color w:val="auto"/>
          <w:sz w:val="32"/>
          <w:szCs w:val="32"/>
          <w:highlight w:val="none"/>
        </w:rPr>
        <w:t>月</w:t>
      </w:r>
      <w:r>
        <w:rPr>
          <w:rFonts w:hint="eastAsia"/>
          <w:b/>
          <w:color w:val="auto"/>
          <w:sz w:val="32"/>
          <w:szCs w:val="32"/>
          <w:highlight w:val="none"/>
        </w:rPr>
        <w:t xml:space="preserve"> </w:t>
      </w:r>
      <w:r>
        <w:rPr>
          <w:b/>
          <w:color w:val="auto"/>
          <w:sz w:val="32"/>
          <w:szCs w:val="32"/>
          <w:highlight w:val="none"/>
        </w:rPr>
        <w:t>日时分前不得开封</w:t>
      </w:r>
    </w:p>
    <w:p w14:paraId="08D528BE">
      <w:pPr>
        <w:pStyle w:val="43"/>
        <w:ind w:left="0" w:leftChars="0" w:firstLine="0" w:firstLineChars="0"/>
        <w:rPr>
          <w:color w:val="auto"/>
          <w:highlight w:val="none"/>
        </w:rPr>
      </w:pPr>
    </w:p>
    <w:p w14:paraId="6B446158">
      <w:pPr>
        <w:rPr>
          <w:rFonts w:eastAsia="华文新魏"/>
          <w:b/>
          <w:color w:val="auto"/>
          <w:sz w:val="24"/>
          <w:highlight w:val="none"/>
        </w:rPr>
      </w:pPr>
      <w:r>
        <w:rPr>
          <w:rFonts w:eastAsia="华文新魏"/>
          <w:b/>
          <w:color w:val="auto"/>
          <w:sz w:val="24"/>
          <w:highlight w:val="none"/>
        </w:rPr>
        <w:br w:type="page"/>
      </w:r>
    </w:p>
    <w:p w14:paraId="6610A483">
      <w:pPr>
        <w:spacing w:before="272" w:beforeLines="100" w:after="272" w:afterLines="100"/>
        <w:ind w:left="359" w:leftChars="171" w:firstLine="6746" w:firstLineChars="2800"/>
        <w:rPr>
          <w:rFonts w:eastAsia="华文新魏"/>
          <w:b/>
          <w:color w:val="auto"/>
          <w:sz w:val="24"/>
          <w:highlight w:val="none"/>
        </w:rPr>
      </w:pPr>
      <w:r>
        <w:rPr>
          <w:rFonts w:eastAsia="华文新魏"/>
          <w:b/>
          <w:color w:val="auto"/>
          <w:sz w:val="24"/>
          <w:highlight w:val="none"/>
        </w:rPr>
        <w:t>正本或副本</w:t>
      </w:r>
    </w:p>
    <w:p w14:paraId="1792F549">
      <w:pPr>
        <w:spacing w:before="272" w:beforeLines="100" w:after="272" w:afterLines="100"/>
        <w:rPr>
          <w:b/>
          <w:color w:val="auto"/>
          <w:kern w:val="0"/>
          <w:sz w:val="52"/>
          <w:szCs w:val="52"/>
          <w:highlight w:val="none"/>
        </w:rPr>
      </w:pPr>
      <w:r>
        <w:rPr>
          <w:b/>
          <w:color w:val="auto"/>
          <w:sz w:val="24"/>
          <w:highlight w:val="none"/>
        </w:rPr>
        <w:t>投标文件封面或扉页格式</w:t>
      </w:r>
    </w:p>
    <w:p w14:paraId="23163431">
      <w:pPr>
        <w:pStyle w:val="2"/>
        <w:rPr>
          <w:rFonts w:hint="eastAsia" w:ascii="Times New Roman" w:hAnsi="Times New Roman" w:eastAsia="宋体" w:cs="Times New Roman"/>
          <w:b/>
          <w:color w:val="auto"/>
          <w:kern w:val="0"/>
          <w:sz w:val="32"/>
          <w:szCs w:val="32"/>
          <w:highlight w:val="none"/>
          <w:lang w:val="en-US" w:eastAsia="zh-CN" w:bidi="ar-SA"/>
        </w:rPr>
      </w:pPr>
      <w:r>
        <w:rPr>
          <w:rFonts w:hint="eastAsia"/>
          <w:b/>
          <w:color w:val="auto"/>
          <w:kern w:val="0"/>
          <w:sz w:val="44"/>
          <w:szCs w:val="44"/>
          <w:highlight w:val="none"/>
          <w:lang w:eastAsia="zh-CN"/>
        </w:rPr>
        <w:t>平房区新华村(三家子屯)城中村改造项目回迁安置工程项目施工(第一阶段)-电梯采购及安装</w:t>
      </w:r>
    </w:p>
    <w:p w14:paraId="61A0E8BF">
      <w:pPr>
        <w:pStyle w:val="2"/>
        <w:ind w:left="0" w:leftChars="0" w:firstLine="0" w:firstLineChars="0"/>
        <w:jc w:val="both"/>
        <w:rPr>
          <w:highlight w:val="none"/>
        </w:rPr>
      </w:pPr>
    </w:p>
    <w:p w14:paraId="5A01116C">
      <w:pPr>
        <w:jc w:val="center"/>
        <w:rPr>
          <w:b/>
          <w:color w:val="auto"/>
          <w:sz w:val="72"/>
          <w:szCs w:val="72"/>
          <w:highlight w:val="none"/>
        </w:rPr>
      </w:pPr>
      <w:r>
        <w:rPr>
          <w:b/>
          <w:color w:val="auto"/>
          <w:sz w:val="72"/>
          <w:szCs w:val="72"/>
          <w:highlight w:val="none"/>
        </w:rPr>
        <w:t>投标文件</w:t>
      </w:r>
    </w:p>
    <w:p w14:paraId="25307B81">
      <w:pPr>
        <w:spacing w:before="272" w:beforeLines="100" w:after="272" w:afterLines="100" w:line="480" w:lineRule="auto"/>
        <w:ind w:firstLine="2249" w:firstLineChars="700"/>
        <w:rPr>
          <w:b/>
          <w:color w:val="auto"/>
          <w:kern w:val="0"/>
          <w:sz w:val="32"/>
          <w:szCs w:val="32"/>
          <w:highlight w:val="none"/>
        </w:rPr>
      </w:pPr>
      <w:r>
        <w:rPr>
          <w:b/>
          <w:color w:val="auto"/>
          <w:kern w:val="0"/>
          <w:sz w:val="32"/>
          <w:szCs w:val="32"/>
          <w:highlight w:val="none"/>
        </w:rPr>
        <w:t>商务标或技术标或资格审查部分</w:t>
      </w:r>
    </w:p>
    <w:p w14:paraId="429213CE">
      <w:pPr>
        <w:ind w:firstLine="2570" w:firstLineChars="800"/>
        <w:rPr>
          <w:b/>
          <w:color w:val="auto"/>
          <w:kern w:val="0"/>
          <w:sz w:val="32"/>
          <w:szCs w:val="32"/>
          <w:highlight w:val="none"/>
        </w:rPr>
      </w:pPr>
      <w:r>
        <w:rPr>
          <w:b/>
          <w:color w:val="auto"/>
          <w:kern w:val="0"/>
          <w:sz w:val="32"/>
          <w:szCs w:val="32"/>
          <w:highlight w:val="none"/>
        </w:rPr>
        <w:t>项目编号：</w:t>
      </w:r>
    </w:p>
    <w:p w14:paraId="2691395C">
      <w:pPr>
        <w:rPr>
          <w:b/>
          <w:color w:val="auto"/>
          <w:kern w:val="0"/>
          <w:sz w:val="32"/>
          <w:szCs w:val="32"/>
          <w:highlight w:val="none"/>
        </w:rPr>
      </w:pPr>
    </w:p>
    <w:p w14:paraId="5BD1E060">
      <w:pPr>
        <w:spacing w:before="136" w:beforeLines="50" w:after="136" w:afterLines="50"/>
        <w:rPr>
          <w:b/>
          <w:bCs/>
          <w:color w:val="auto"/>
          <w:sz w:val="28"/>
          <w:szCs w:val="28"/>
          <w:highlight w:val="none"/>
          <w:u w:val="single"/>
        </w:rPr>
      </w:pPr>
      <w:r>
        <w:rPr>
          <w:b/>
          <w:bCs/>
          <w:color w:val="auto"/>
          <w:spacing w:val="60"/>
          <w:kern w:val="0"/>
          <w:sz w:val="28"/>
          <w:szCs w:val="28"/>
          <w:highlight w:val="none"/>
        </w:rPr>
        <w:t>项目名</w:t>
      </w:r>
      <w:r>
        <w:rPr>
          <w:b/>
          <w:bCs/>
          <w:color w:val="auto"/>
          <w:kern w:val="0"/>
          <w:sz w:val="28"/>
          <w:szCs w:val="28"/>
          <w:highlight w:val="none"/>
        </w:rPr>
        <w:t>称</w:t>
      </w:r>
      <w:r>
        <w:rPr>
          <w:b/>
          <w:bCs/>
          <w:color w:val="auto"/>
          <w:sz w:val="28"/>
          <w:szCs w:val="28"/>
          <w:highlight w:val="none"/>
        </w:rPr>
        <w:t>：</w:t>
      </w:r>
    </w:p>
    <w:p w14:paraId="73C3F1ED">
      <w:pPr>
        <w:spacing w:before="136" w:beforeLines="50" w:after="136" w:afterLines="50"/>
        <w:rPr>
          <w:b/>
          <w:color w:val="auto"/>
          <w:sz w:val="28"/>
          <w:szCs w:val="28"/>
          <w:highlight w:val="none"/>
          <w:u w:val="single"/>
        </w:rPr>
      </w:pPr>
      <w:r>
        <w:rPr>
          <w:b/>
          <w:color w:val="auto"/>
          <w:spacing w:val="180"/>
          <w:kern w:val="0"/>
          <w:sz w:val="28"/>
          <w:szCs w:val="28"/>
          <w:highlight w:val="none"/>
        </w:rPr>
        <w:t>投标</w:t>
      </w:r>
      <w:r>
        <w:rPr>
          <w:b/>
          <w:color w:val="auto"/>
          <w:kern w:val="0"/>
          <w:sz w:val="28"/>
          <w:szCs w:val="28"/>
          <w:highlight w:val="none"/>
        </w:rPr>
        <w:t>人</w:t>
      </w:r>
      <w:r>
        <w:rPr>
          <w:b/>
          <w:color w:val="auto"/>
          <w:sz w:val="28"/>
          <w:szCs w:val="28"/>
          <w:highlight w:val="none"/>
        </w:rPr>
        <w:t>：</w:t>
      </w:r>
      <w:r>
        <w:rPr>
          <w:rFonts w:hint="eastAsia"/>
          <w:b/>
          <w:color w:val="auto"/>
          <w:sz w:val="28"/>
          <w:szCs w:val="28"/>
          <w:highlight w:val="none"/>
          <w:u w:val="single"/>
          <w:lang w:val="en-US" w:eastAsia="zh-CN"/>
        </w:rPr>
        <w:t xml:space="preserve">                                </w:t>
      </w:r>
      <w:r>
        <w:rPr>
          <w:b/>
          <w:bCs/>
          <w:color w:val="auto"/>
          <w:sz w:val="28"/>
          <w:szCs w:val="28"/>
          <w:highlight w:val="none"/>
          <w:u w:val="single"/>
        </w:rPr>
        <w:t>（</w:t>
      </w:r>
      <w:r>
        <w:rPr>
          <w:b/>
          <w:color w:val="auto"/>
          <w:sz w:val="28"/>
          <w:szCs w:val="28"/>
          <w:highlight w:val="none"/>
          <w:u w:val="single"/>
        </w:rPr>
        <w:t>盖章</w:t>
      </w:r>
      <w:r>
        <w:rPr>
          <w:b/>
          <w:bCs/>
          <w:color w:val="auto"/>
          <w:sz w:val="28"/>
          <w:szCs w:val="28"/>
          <w:highlight w:val="none"/>
          <w:u w:val="single"/>
        </w:rPr>
        <w:t>）</w:t>
      </w:r>
    </w:p>
    <w:p w14:paraId="07F0A3D3">
      <w:pPr>
        <w:spacing w:before="136" w:beforeLines="50" w:after="136" w:afterLines="50"/>
        <w:rPr>
          <w:b/>
          <w:bCs/>
          <w:color w:val="auto"/>
          <w:sz w:val="28"/>
          <w:szCs w:val="28"/>
          <w:highlight w:val="none"/>
        </w:rPr>
      </w:pPr>
      <w:r>
        <w:rPr>
          <w:b/>
          <w:bCs/>
          <w:color w:val="auto"/>
          <w:sz w:val="28"/>
          <w:szCs w:val="28"/>
          <w:highlight w:val="none"/>
        </w:rPr>
        <w:t>法定代表人：</w:t>
      </w:r>
      <w:r>
        <w:rPr>
          <w:rFonts w:hint="eastAsia"/>
          <w:b/>
          <w:bCs/>
          <w:color w:val="auto"/>
          <w:sz w:val="28"/>
          <w:szCs w:val="28"/>
          <w:highlight w:val="none"/>
          <w:u w:val="single"/>
          <w:lang w:val="en-US" w:eastAsia="zh-CN"/>
        </w:rPr>
        <w:t xml:space="preserve">                            </w:t>
      </w:r>
      <w:r>
        <w:rPr>
          <w:b/>
          <w:bCs/>
          <w:color w:val="auto"/>
          <w:sz w:val="28"/>
          <w:szCs w:val="28"/>
          <w:highlight w:val="none"/>
          <w:u w:val="single"/>
        </w:rPr>
        <w:t>（</w:t>
      </w:r>
      <w:r>
        <w:rPr>
          <w:rFonts w:hint="eastAsia"/>
          <w:b/>
          <w:bCs/>
          <w:color w:val="auto"/>
          <w:sz w:val="28"/>
          <w:szCs w:val="28"/>
          <w:highlight w:val="none"/>
          <w:u w:val="single"/>
        </w:rPr>
        <w:t>签字或盖章</w:t>
      </w:r>
      <w:r>
        <w:rPr>
          <w:b/>
          <w:bCs/>
          <w:color w:val="auto"/>
          <w:sz w:val="28"/>
          <w:szCs w:val="28"/>
          <w:highlight w:val="none"/>
          <w:u w:val="single"/>
        </w:rPr>
        <w:t>）</w:t>
      </w:r>
    </w:p>
    <w:p w14:paraId="7A6F0B06">
      <w:pPr>
        <w:spacing w:before="136" w:beforeLines="50" w:after="136" w:afterLines="50"/>
        <w:rPr>
          <w:b/>
          <w:bCs/>
          <w:color w:val="auto"/>
          <w:sz w:val="28"/>
          <w:szCs w:val="28"/>
          <w:highlight w:val="none"/>
          <w:u w:val="single"/>
        </w:rPr>
      </w:pPr>
      <w:r>
        <w:rPr>
          <w:b/>
          <w:bCs/>
          <w:color w:val="auto"/>
          <w:sz w:val="28"/>
          <w:szCs w:val="28"/>
          <w:highlight w:val="none"/>
        </w:rPr>
        <w:t>投标人地址：</w:t>
      </w:r>
    </w:p>
    <w:p w14:paraId="0ED84830">
      <w:pPr>
        <w:spacing w:before="136" w:beforeLines="50" w:after="136" w:afterLines="50"/>
        <w:rPr>
          <w:b/>
          <w:color w:val="auto"/>
          <w:sz w:val="28"/>
          <w:szCs w:val="28"/>
          <w:highlight w:val="none"/>
        </w:rPr>
      </w:pPr>
      <w:r>
        <w:rPr>
          <w:b/>
          <w:bCs/>
          <w:color w:val="auto"/>
          <w:sz w:val="28"/>
          <w:szCs w:val="28"/>
          <w:highlight w:val="none"/>
        </w:rPr>
        <w:t>电话：</w:t>
      </w:r>
    </w:p>
    <w:p w14:paraId="21AECF40">
      <w:pPr>
        <w:rPr>
          <w:b/>
          <w:color w:val="auto"/>
          <w:sz w:val="24"/>
          <w:highlight w:val="none"/>
        </w:rPr>
      </w:pPr>
      <w:r>
        <w:rPr>
          <w:b/>
          <w:bCs/>
          <w:color w:val="auto"/>
          <w:spacing w:val="60"/>
          <w:kern w:val="0"/>
          <w:sz w:val="28"/>
          <w:szCs w:val="28"/>
          <w:highlight w:val="none"/>
        </w:rPr>
        <w:t>编制日</w:t>
      </w:r>
      <w:r>
        <w:rPr>
          <w:b/>
          <w:bCs/>
          <w:color w:val="auto"/>
          <w:kern w:val="0"/>
          <w:sz w:val="28"/>
          <w:szCs w:val="28"/>
          <w:highlight w:val="none"/>
        </w:rPr>
        <w:t>期</w:t>
      </w:r>
      <w:r>
        <w:rPr>
          <w:b/>
          <w:bCs/>
          <w:color w:val="auto"/>
          <w:sz w:val="28"/>
          <w:szCs w:val="28"/>
          <w:highlight w:val="none"/>
        </w:rPr>
        <w:t>：</w:t>
      </w:r>
      <w:r>
        <w:rPr>
          <w:rFonts w:hint="eastAsia"/>
          <w:b/>
          <w:bCs/>
          <w:color w:val="auto"/>
          <w:sz w:val="28"/>
          <w:szCs w:val="28"/>
          <w:highlight w:val="none"/>
        </w:rPr>
        <w:t xml:space="preserve">   </w:t>
      </w:r>
      <w:r>
        <w:rPr>
          <w:b/>
          <w:bCs/>
          <w:color w:val="auto"/>
          <w:sz w:val="28"/>
          <w:szCs w:val="28"/>
          <w:highlight w:val="none"/>
        </w:rPr>
        <w:t>年</w:t>
      </w:r>
      <w:r>
        <w:rPr>
          <w:rFonts w:hint="eastAsia"/>
          <w:b/>
          <w:bCs/>
          <w:color w:val="auto"/>
          <w:sz w:val="28"/>
          <w:szCs w:val="28"/>
          <w:highlight w:val="none"/>
        </w:rPr>
        <w:t xml:space="preserve">   </w:t>
      </w:r>
      <w:r>
        <w:rPr>
          <w:b/>
          <w:bCs/>
          <w:color w:val="auto"/>
          <w:sz w:val="28"/>
          <w:szCs w:val="28"/>
          <w:highlight w:val="none"/>
        </w:rPr>
        <w:t>月</w:t>
      </w:r>
      <w:r>
        <w:rPr>
          <w:rFonts w:hint="eastAsia"/>
          <w:b/>
          <w:bCs/>
          <w:color w:val="auto"/>
          <w:sz w:val="28"/>
          <w:szCs w:val="28"/>
          <w:highlight w:val="none"/>
        </w:rPr>
        <w:t xml:space="preserve">   </w:t>
      </w:r>
      <w:r>
        <w:rPr>
          <w:b/>
          <w:bCs/>
          <w:color w:val="auto"/>
          <w:sz w:val="28"/>
          <w:szCs w:val="28"/>
          <w:highlight w:val="none"/>
        </w:rPr>
        <w:t>日</w:t>
      </w:r>
      <w:r>
        <w:rPr>
          <w:b/>
          <w:bCs/>
          <w:color w:val="auto"/>
          <w:sz w:val="28"/>
          <w:szCs w:val="28"/>
          <w:highlight w:val="none"/>
        </w:rPr>
        <w:br w:type="page"/>
      </w:r>
    </w:p>
    <w:p w14:paraId="4D77BF7A">
      <w:pPr>
        <w:spacing w:before="272" w:beforeLines="100" w:after="272" w:afterLines="100"/>
        <w:rPr>
          <w:rFonts w:ascii="宋体" w:hAnsi="宋体"/>
          <w:b/>
          <w:color w:val="auto"/>
          <w:sz w:val="24"/>
          <w:szCs w:val="22"/>
          <w:highlight w:val="none"/>
        </w:rPr>
      </w:pPr>
      <w:r>
        <w:rPr>
          <w:rFonts w:hint="eastAsia"/>
          <w:b/>
          <w:color w:val="auto"/>
          <w:sz w:val="24"/>
          <w:highlight w:val="none"/>
        </w:rPr>
        <w:t>投标文件</w:t>
      </w:r>
      <w:r>
        <w:rPr>
          <w:b/>
          <w:color w:val="auto"/>
          <w:sz w:val="24"/>
          <w:highlight w:val="none"/>
        </w:rPr>
        <w:t>电子版</w:t>
      </w:r>
      <w:r>
        <w:rPr>
          <w:rFonts w:hint="eastAsia"/>
          <w:b/>
          <w:color w:val="auto"/>
          <w:sz w:val="24"/>
          <w:highlight w:val="none"/>
        </w:rPr>
        <w:t>包封格式</w:t>
      </w:r>
      <w:r>
        <w:rPr>
          <w:rFonts w:hint="eastAsia" w:ascii="宋体" w:hAnsi="宋体"/>
          <w:b/>
          <w:color w:val="auto"/>
          <w:sz w:val="24"/>
          <w:szCs w:val="22"/>
          <w:highlight w:val="none"/>
        </w:rPr>
        <w:t>如下：</w:t>
      </w:r>
    </w:p>
    <w:p w14:paraId="0CBCF052">
      <w:pPr>
        <w:spacing w:before="272" w:beforeLines="100" w:after="272" w:afterLines="100"/>
        <w:rPr>
          <w:rFonts w:ascii="宋体" w:hAnsi="宋体"/>
          <w:b/>
          <w:color w:val="auto"/>
          <w:sz w:val="24"/>
          <w:szCs w:val="22"/>
          <w:highlight w:val="none"/>
        </w:rPr>
      </w:pPr>
    </w:p>
    <w:p w14:paraId="00B42450">
      <w:pPr>
        <w:pStyle w:val="2"/>
        <w:jc w:val="center"/>
        <w:rPr>
          <w:rFonts w:hint="eastAsia" w:ascii="Times New Roman" w:hAnsi="Times New Roman" w:eastAsia="宋体" w:cs="Times New Roman"/>
          <w:b/>
          <w:color w:val="auto"/>
          <w:kern w:val="0"/>
          <w:sz w:val="32"/>
          <w:szCs w:val="32"/>
          <w:highlight w:val="none"/>
          <w:lang w:val="en-US" w:eastAsia="zh-CN" w:bidi="ar-SA"/>
        </w:rPr>
      </w:pPr>
      <w:r>
        <w:rPr>
          <w:rFonts w:hint="eastAsia"/>
          <w:b/>
          <w:color w:val="auto"/>
          <w:kern w:val="0"/>
          <w:sz w:val="44"/>
          <w:szCs w:val="44"/>
          <w:highlight w:val="none"/>
          <w:lang w:eastAsia="zh-CN"/>
        </w:rPr>
        <w:t>平房区新华村(三家子屯)城中村改造项目回迁安置工程项目施工(第一阶段)-电梯采购及安装</w:t>
      </w:r>
    </w:p>
    <w:p w14:paraId="7D516224">
      <w:pPr>
        <w:pStyle w:val="2"/>
        <w:rPr>
          <w:highlight w:val="none"/>
        </w:rPr>
      </w:pPr>
    </w:p>
    <w:p w14:paraId="21988F39">
      <w:pPr>
        <w:jc w:val="center"/>
        <w:rPr>
          <w:rFonts w:ascii="宋体" w:hAnsi="宋体"/>
          <w:b/>
          <w:color w:val="auto"/>
          <w:sz w:val="72"/>
          <w:szCs w:val="72"/>
          <w:highlight w:val="none"/>
        </w:rPr>
      </w:pPr>
      <w:r>
        <w:rPr>
          <w:rFonts w:ascii="宋体" w:hAnsi="宋体"/>
          <w:b/>
          <w:color w:val="auto"/>
          <w:sz w:val="72"/>
          <w:szCs w:val="72"/>
          <w:highlight w:val="none"/>
        </w:rPr>
        <w:t>投标文件</w:t>
      </w:r>
      <w:r>
        <w:rPr>
          <w:rFonts w:hint="eastAsia" w:ascii="宋体" w:hAnsi="宋体"/>
          <w:b/>
          <w:color w:val="auto"/>
          <w:sz w:val="72"/>
          <w:szCs w:val="72"/>
          <w:highlight w:val="none"/>
        </w:rPr>
        <w:t>电子版</w:t>
      </w:r>
    </w:p>
    <w:p w14:paraId="10FA099F">
      <w:pPr>
        <w:ind w:firstLine="3092" w:firstLineChars="1100"/>
        <w:rPr>
          <w:b/>
          <w:color w:val="auto"/>
          <w:kern w:val="0"/>
          <w:sz w:val="28"/>
          <w:szCs w:val="28"/>
          <w:highlight w:val="none"/>
        </w:rPr>
      </w:pPr>
      <w:r>
        <w:rPr>
          <w:b/>
          <w:color w:val="auto"/>
          <w:kern w:val="0"/>
          <w:sz w:val="28"/>
          <w:szCs w:val="28"/>
          <w:highlight w:val="none"/>
        </w:rPr>
        <w:t>项目编号：</w:t>
      </w:r>
    </w:p>
    <w:p w14:paraId="3D2EAC01">
      <w:pPr>
        <w:rPr>
          <w:rFonts w:ascii="宋体" w:hAnsi="宋体"/>
          <w:b/>
          <w:color w:val="auto"/>
          <w:kern w:val="0"/>
          <w:sz w:val="32"/>
          <w:szCs w:val="32"/>
          <w:highlight w:val="none"/>
        </w:rPr>
      </w:pPr>
    </w:p>
    <w:p w14:paraId="5E0822BE">
      <w:pPr>
        <w:spacing w:before="136" w:beforeLines="50" w:after="136" w:afterLines="50"/>
        <w:rPr>
          <w:rFonts w:ascii="宋体" w:hAnsi="宋体"/>
          <w:b/>
          <w:bCs/>
          <w:color w:val="auto"/>
          <w:spacing w:val="60"/>
          <w:kern w:val="0"/>
          <w:sz w:val="28"/>
          <w:szCs w:val="28"/>
          <w:highlight w:val="none"/>
        </w:rPr>
      </w:pPr>
    </w:p>
    <w:p w14:paraId="77098407">
      <w:pPr>
        <w:spacing w:before="136" w:beforeLines="50" w:after="136" w:afterLines="50"/>
        <w:rPr>
          <w:rFonts w:ascii="宋体" w:hAnsi="宋体"/>
          <w:b/>
          <w:bCs/>
          <w:color w:val="auto"/>
          <w:spacing w:val="60"/>
          <w:kern w:val="0"/>
          <w:sz w:val="28"/>
          <w:szCs w:val="28"/>
          <w:highlight w:val="none"/>
        </w:rPr>
      </w:pPr>
    </w:p>
    <w:p w14:paraId="74651987">
      <w:pPr>
        <w:spacing w:before="136" w:beforeLines="50" w:after="136" w:afterLines="50"/>
        <w:rPr>
          <w:rFonts w:ascii="宋体" w:hAnsi="宋体"/>
          <w:b/>
          <w:bCs/>
          <w:color w:val="auto"/>
          <w:sz w:val="28"/>
          <w:szCs w:val="28"/>
          <w:highlight w:val="none"/>
          <w:u w:val="single"/>
        </w:rPr>
      </w:pPr>
      <w:r>
        <w:rPr>
          <w:rFonts w:ascii="宋体" w:hAnsi="宋体"/>
          <w:b/>
          <w:bCs/>
          <w:color w:val="auto"/>
          <w:spacing w:val="60"/>
          <w:kern w:val="0"/>
          <w:sz w:val="28"/>
          <w:szCs w:val="28"/>
          <w:highlight w:val="none"/>
        </w:rPr>
        <w:t>项目名</w:t>
      </w:r>
      <w:r>
        <w:rPr>
          <w:rFonts w:ascii="宋体" w:hAnsi="宋体"/>
          <w:b/>
          <w:bCs/>
          <w:color w:val="auto"/>
          <w:kern w:val="0"/>
          <w:sz w:val="28"/>
          <w:szCs w:val="28"/>
          <w:highlight w:val="none"/>
        </w:rPr>
        <w:t>称</w:t>
      </w:r>
      <w:r>
        <w:rPr>
          <w:rFonts w:ascii="宋体" w:hAnsi="宋体"/>
          <w:b/>
          <w:bCs/>
          <w:color w:val="auto"/>
          <w:sz w:val="28"/>
          <w:szCs w:val="28"/>
          <w:highlight w:val="none"/>
        </w:rPr>
        <w:t>：</w:t>
      </w:r>
      <w:r>
        <w:rPr>
          <w:rFonts w:ascii="宋体" w:hAnsi="宋体"/>
          <w:b/>
          <w:color w:val="auto"/>
          <w:sz w:val="28"/>
          <w:szCs w:val="28"/>
          <w:highlight w:val="none"/>
        </w:rPr>
        <w:t xml:space="preserve"> </w:t>
      </w:r>
      <w:r>
        <w:rPr>
          <w:rFonts w:ascii="宋体" w:hAnsi="宋体"/>
          <w:b/>
          <w:color w:val="auto"/>
          <w:sz w:val="28"/>
          <w:szCs w:val="28"/>
          <w:highlight w:val="none"/>
          <w:u w:val="single"/>
        </w:rPr>
        <w:t xml:space="preserve">              </w:t>
      </w:r>
      <w:r>
        <w:rPr>
          <w:rFonts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 xml:space="preserve">  </w:t>
      </w:r>
      <w:r>
        <w:rPr>
          <w:rFonts w:ascii="宋体" w:hAnsi="宋体"/>
          <w:b/>
          <w:bCs/>
          <w:color w:val="auto"/>
          <w:sz w:val="28"/>
          <w:szCs w:val="28"/>
          <w:highlight w:val="none"/>
          <w:u w:val="single"/>
        </w:rPr>
        <w:t xml:space="preserve">             </w:t>
      </w:r>
    </w:p>
    <w:p w14:paraId="102AD73F">
      <w:pPr>
        <w:spacing w:before="136" w:beforeLines="50" w:after="136" w:afterLines="50"/>
        <w:rPr>
          <w:rFonts w:ascii="宋体" w:hAnsi="宋体"/>
          <w:b/>
          <w:color w:val="auto"/>
          <w:sz w:val="28"/>
          <w:szCs w:val="28"/>
          <w:highlight w:val="none"/>
          <w:u w:val="single"/>
        </w:rPr>
      </w:pPr>
      <w:r>
        <w:rPr>
          <w:rFonts w:ascii="宋体" w:hAnsi="宋体"/>
          <w:b/>
          <w:color w:val="auto"/>
          <w:spacing w:val="180"/>
          <w:kern w:val="0"/>
          <w:sz w:val="28"/>
          <w:szCs w:val="28"/>
          <w:highlight w:val="none"/>
        </w:rPr>
        <w:t>投标</w:t>
      </w:r>
      <w:r>
        <w:rPr>
          <w:rFonts w:ascii="宋体" w:hAnsi="宋体"/>
          <w:b/>
          <w:color w:val="auto"/>
          <w:kern w:val="0"/>
          <w:sz w:val="28"/>
          <w:szCs w:val="28"/>
          <w:highlight w:val="none"/>
        </w:rPr>
        <w:t>人</w:t>
      </w:r>
      <w:r>
        <w:rPr>
          <w:rFonts w:ascii="宋体" w:hAnsi="宋体"/>
          <w:b/>
          <w:color w:val="auto"/>
          <w:sz w:val="28"/>
          <w:szCs w:val="28"/>
          <w:highlight w:val="none"/>
        </w:rPr>
        <w:t>：</w:t>
      </w:r>
      <w:r>
        <w:rPr>
          <w:rFonts w:ascii="宋体" w:hAnsi="宋体"/>
          <w:b/>
          <w:bCs/>
          <w:color w:val="auto"/>
          <w:sz w:val="28"/>
          <w:szCs w:val="28"/>
          <w:highlight w:val="none"/>
        </w:rPr>
        <w:t xml:space="preserve"> </w:t>
      </w:r>
      <w:r>
        <w:rPr>
          <w:rFonts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 xml:space="preserve">  </w:t>
      </w:r>
      <w:r>
        <w:rPr>
          <w:rFonts w:ascii="宋体" w:hAnsi="宋体"/>
          <w:b/>
          <w:bCs/>
          <w:color w:val="auto"/>
          <w:sz w:val="28"/>
          <w:szCs w:val="28"/>
          <w:highlight w:val="none"/>
          <w:u w:val="single"/>
        </w:rPr>
        <w:t xml:space="preserve">   （</w:t>
      </w:r>
      <w:r>
        <w:rPr>
          <w:rFonts w:ascii="宋体" w:hAnsi="宋体"/>
          <w:b/>
          <w:color w:val="auto"/>
          <w:sz w:val="28"/>
          <w:szCs w:val="28"/>
          <w:highlight w:val="none"/>
          <w:u w:val="single"/>
        </w:rPr>
        <w:t>盖  章</w:t>
      </w:r>
      <w:r>
        <w:rPr>
          <w:rFonts w:ascii="宋体" w:hAnsi="宋体"/>
          <w:b/>
          <w:bCs/>
          <w:color w:val="auto"/>
          <w:sz w:val="28"/>
          <w:szCs w:val="28"/>
          <w:highlight w:val="none"/>
          <w:u w:val="single"/>
        </w:rPr>
        <w:t xml:space="preserve">）  </w:t>
      </w:r>
      <w:r>
        <w:rPr>
          <w:rFonts w:ascii="宋体" w:hAnsi="宋体"/>
          <w:b/>
          <w:bCs/>
          <w:color w:val="auto"/>
          <w:sz w:val="28"/>
          <w:szCs w:val="28"/>
          <w:highlight w:val="none"/>
        </w:rPr>
        <w:t xml:space="preserve">         </w:t>
      </w:r>
    </w:p>
    <w:p w14:paraId="4C7C3FA7">
      <w:pPr>
        <w:spacing w:before="136" w:beforeLines="50" w:after="136" w:afterLines="50"/>
        <w:rPr>
          <w:rFonts w:ascii="宋体" w:hAnsi="宋体"/>
          <w:b/>
          <w:bCs/>
          <w:color w:val="auto"/>
          <w:sz w:val="28"/>
          <w:szCs w:val="28"/>
          <w:highlight w:val="none"/>
        </w:rPr>
      </w:pPr>
      <w:r>
        <w:rPr>
          <w:rFonts w:ascii="宋体" w:hAnsi="宋体"/>
          <w:b/>
          <w:bCs/>
          <w:color w:val="auto"/>
          <w:sz w:val="28"/>
          <w:szCs w:val="28"/>
          <w:highlight w:val="none"/>
        </w:rPr>
        <w:t xml:space="preserve">法定代表人： </w:t>
      </w:r>
      <w:r>
        <w:rPr>
          <w:rFonts w:ascii="宋体" w:hAnsi="宋体"/>
          <w:b/>
          <w:bCs/>
          <w:color w:val="auto"/>
          <w:sz w:val="28"/>
          <w:szCs w:val="28"/>
          <w:highlight w:val="none"/>
          <w:u w:val="single"/>
        </w:rPr>
        <w:t xml:space="preserve">                          </w:t>
      </w:r>
      <w:r>
        <w:rPr>
          <w:b/>
          <w:bCs/>
          <w:color w:val="auto"/>
          <w:sz w:val="28"/>
          <w:szCs w:val="28"/>
          <w:highlight w:val="none"/>
          <w:u w:val="single"/>
        </w:rPr>
        <w:t>（</w:t>
      </w:r>
      <w:r>
        <w:rPr>
          <w:rFonts w:hint="eastAsia"/>
          <w:b/>
          <w:bCs/>
          <w:color w:val="auto"/>
          <w:sz w:val="28"/>
          <w:szCs w:val="28"/>
          <w:highlight w:val="none"/>
          <w:u w:val="single"/>
        </w:rPr>
        <w:t>签字或盖章</w:t>
      </w:r>
      <w:r>
        <w:rPr>
          <w:b/>
          <w:bCs/>
          <w:color w:val="auto"/>
          <w:sz w:val="28"/>
          <w:szCs w:val="28"/>
          <w:highlight w:val="none"/>
          <w:u w:val="single"/>
        </w:rPr>
        <w:t>）</w:t>
      </w:r>
    </w:p>
    <w:p w14:paraId="5580F7F9">
      <w:pPr>
        <w:rPr>
          <w:rFonts w:ascii="宋体" w:hAnsi="宋体"/>
          <w:b/>
          <w:color w:val="auto"/>
          <w:sz w:val="28"/>
          <w:szCs w:val="28"/>
          <w:highlight w:val="none"/>
        </w:rPr>
      </w:pPr>
      <w:r>
        <w:rPr>
          <w:rFonts w:ascii="宋体" w:hAnsi="宋体"/>
          <w:b/>
          <w:bCs/>
          <w:color w:val="auto"/>
          <w:spacing w:val="60"/>
          <w:kern w:val="0"/>
          <w:sz w:val="28"/>
          <w:szCs w:val="28"/>
          <w:highlight w:val="none"/>
        </w:rPr>
        <w:t>编制日</w:t>
      </w:r>
      <w:r>
        <w:rPr>
          <w:rFonts w:ascii="宋体" w:hAnsi="宋体"/>
          <w:b/>
          <w:bCs/>
          <w:color w:val="auto"/>
          <w:kern w:val="0"/>
          <w:sz w:val="28"/>
          <w:szCs w:val="28"/>
          <w:highlight w:val="none"/>
        </w:rPr>
        <w:t>期</w:t>
      </w:r>
      <w:r>
        <w:rPr>
          <w:rFonts w:ascii="宋体" w:hAnsi="宋体"/>
          <w:b/>
          <w:bCs/>
          <w:color w:val="auto"/>
          <w:sz w:val="28"/>
          <w:szCs w:val="28"/>
          <w:highlight w:val="none"/>
        </w:rPr>
        <w:t xml:space="preserve">： </w:t>
      </w:r>
      <w:r>
        <w:rPr>
          <w:rFonts w:ascii="宋体" w:hAnsi="宋体"/>
          <w:b/>
          <w:bCs/>
          <w:color w:val="auto"/>
          <w:sz w:val="28"/>
          <w:szCs w:val="28"/>
          <w:highlight w:val="none"/>
          <w:u w:val="single"/>
        </w:rPr>
        <w:t xml:space="preserve">          </w:t>
      </w:r>
      <w:r>
        <w:rPr>
          <w:rFonts w:ascii="宋体" w:hAnsi="宋体"/>
          <w:b/>
          <w:bCs/>
          <w:color w:val="auto"/>
          <w:sz w:val="28"/>
          <w:szCs w:val="28"/>
          <w:highlight w:val="none"/>
        </w:rPr>
        <w:t>年</w:t>
      </w:r>
      <w:r>
        <w:rPr>
          <w:rFonts w:ascii="宋体" w:hAnsi="宋体"/>
          <w:b/>
          <w:bCs/>
          <w:color w:val="auto"/>
          <w:sz w:val="28"/>
          <w:szCs w:val="28"/>
          <w:highlight w:val="none"/>
          <w:u w:val="single"/>
        </w:rPr>
        <w:t xml:space="preserve">    </w:t>
      </w:r>
      <w:r>
        <w:rPr>
          <w:rFonts w:ascii="宋体" w:hAnsi="宋体"/>
          <w:b/>
          <w:bCs/>
          <w:color w:val="auto"/>
          <w:sz w:val="28"/>
          <w:szCs w:val="28"/>
          <w:highlight w:val="none"/>
        </w:rPr>
        <w:t>月</w:t>
      </w:r>
      <w:r>
        <w:rPr>
          <w:rFonts w:ascii="宋体" w:hAnsi="宋体"/>
          <w:b/>
          <w:bCs/>
          <w:color w:val="auto"/>
          <w:sz w:val="28"/>
          <w:szCs w:val="28"/>
          <w:highlight w:val="none"/>
          <w:u w:val="single"/>
        </w:rPr>
        <w:t xml:space="preserve">    </w:t>
      </w:r>
      <w:r>
        <w:rPr>
          <w:rFonts w:ascii="宋体" w:hAnsi="宋体"/>
          <w:b/>
          <w:bCs/>
          <w:color w:val="auto"/>
          <w:sz w:val="28"/>
          <w:szCs w:val="28"/>
          <w:highlight w:val="none"/>
        </w:rPr>
        <w:t>日</w:t>
      </w:r>
    </w:p>
    <w:p w14:paraId="6C13D4F6">
      <w:pPr>
        <w:rPr>
          <w:b/>
          <w:bCs/>
          <w:color w:val="auto"/>
          <w:sz w:val="28"/>
          <w:szCs w:val="28"/>
          <w:highlight w:val="none"/>
        </w:rPr>
      </w:pPr>
    </w:p>
    <w:p w14:paraId="55CC127E">
      <w:pPr>
        <w:rPr>
          <w:b/>
          <w:color w:val="auto"/>
          <w:sz w:val="28"/>
          <w:szCs w:val="28"/>
          <w:highlight w:val="none"/>
        </w:rPr>
      </w:pPr>
    </w:p>
    <w:p w14:paraId="6AFC6646">
      <w:pPr>
        <w:rPr>
          <w:rFonts w:eastAsia="黑体"/>
          <w:bCs/>
          <w:color w:val="auto"/>
          <w:sz w:val="28"/>
          <w:szCs w:val="28"/>
          <w:highlight w:val="none"/>
        </w:rPr>
      </w:pPr>
      <w:r>
        <w:rPr>
          <w:b/>
          <w:bCs/>
          <w:color w:val="auto"/>
          <w:sz w:val="28"/>
          <w:szCs w:val="28"/>
          <w:highlight w:val="none"/>
        </w:rPr>
        <w:br w:type="page"/>
      </w:r>
    </w:p>
    <w:p w14:paraId="1D47A130">
      <w:pPr>
        <w:ind w:firstLine="3780" w:firstLineChars="1350"/>
        <w:rPr>
          <w:rFonts w:eastAsia="黑体"/>
          <w:color w:val="auto"/>
          <w:sz w:val="28"/>
          <w:szCs w:val="28"/>
          <w:highlight w:val="none"/>
        </w:rPr>
      </w:pPr>
      <w:r>
        <w:rPr>
          <w:rFonts w:eastAsia="黑体"/>
          <w:color w:val="auto"/>
          <w:sz w:val="28"/>
          <w:szCs w:val="28"/>
          <w:highlight w:val="none"/>
        </w:rPr>
        <w:t>目录</w:t>
      </w:r>
    </w:p>
    <w:p w14:paraId="6F9CD8AB">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rPr>
        <w:t>一、投标函及投标函附录</w:t>
      </w:r>
    </w:p>
    <w:p w14:paraId="0DA5D9F2">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rPr>
        <w:t>二、法定代表人身份证明</w:t>
      </w:r>
    </w:p>
    <w:p w14:paraId="420F094F">
      <w:pPr>
        <w:spacing w:line="600" w:lineRule="exact"/>
        <w:ind w:firstLine="1050" w:firstLineChars="500"/>
        <w:rPr>
          <w:rFonts w:hint="eastAsia" w:ascii="宋体" w:cs="宋体"/>
          <w:color w:val="auto"/>
          <w:kern w:val="0"/>
          <w:szCs w:val="21"/>
          <w:highlight w:val="none"/>
        </w:rPr>
      </w:pPr>
      <w:r>
        <w:rPr>
          <w:rFonts w:hint="eastAsia" w:ascii="宋体" w:cs="宋体"/>
          <w:color w:val="auto"/>
          <w:kern w:val="0"/>
          <w:szCs w:val="21"/>
          <w:highlight w:val="none"/>
        </w:rPr>
        <w:t>三、</w:t>
      </w:r>
      <w:r>
        <w:rPr>
          <w:rFonts w:hint="eastAsia" w:ascii="宋体" w:cs="宋体"/>
          <w:color w:val="auto"/>
          <w:kern w:val="0"/>
          <w:szCs w:val="21"/>
          <w:highlight w:val="none"/>
          <w:lang w:eastAsia="zh-CN"/>
        </w:rPr>
        <w:t>法</w:t>
      </w:r>
      <w:r>
        <w:rPr>
          <w:rFonts w:hint="eastAsia" w:ascii="宋体" w:cs="宋体"/>
          <w:color w:val="auto"/>
          <w:kern w:val="0"/>
          <w:szCs w:val="21"/>
          <w:highlight w:val="none"/>
        </w:rPr>
        <w:t>定代表人授权委托书</w:t>
      </w:r>
    </w:p>
    <w:p w14:paraId="4E517BD7">
      <w:pPr>
        <w:spacing w:line="600" w:lineRule="exact"/>
        <w:ind w:firstLine="1050" w:firstLineChars="500"/>
      </w:pPr>
      <w:r>
        <w:rPr>
          <w:rFonts w:hint="eastAsia" w:ascii="宋体" w:cs="宋体"/>
          <w:color w:val="auto"/>
          <w:kern w:val="0"/>
          <w:szCs w:val="21"/>
          <w:highlight w:val="none"/>
        </w:rPr>
        <w:t>四、联合体协议书</w:t>
      </w:r>
    </w:p>
    <w:p w14:paraId="1B5FCDFF">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lang w:val="en-US" w:eastAsia="zh-CN"/>
        </w:rPr>
        <w:t>五</w:t>
      </w:r>
      <w:r>
        <w:rPr>
          <w:rFonts w:hint="eastAsia" w:ascii="宋体" w:cs="宋体"/>
          <w:color w:val="auto"/>
          <w:kern w:val="0"/>
          <w:szCs w:val="21"/>
          <w:highlight w:val="none"/>
        </w:rPr>
        <w:t>、投标保证金</w:t>
      </w:r>
    </w:p>
    <w:p w14:paraId="1B3F92F6">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lang w:val="en-US" w:eastAsia="zh-CN"/>
        </w:rPr>
        <w:t>六</w:t>
      </w:r>
      <w:r>
        <w:rPr>
          <w:rFonts w:hint="eastAsia" w:ascii="宋体" w:cs="宋体"/>
          <w:color w:val="auto"/>
          <w:kern w:val="0"/>
          <w:szCs w:val="21"/>
          <w:highlight w:val="none"/>
        </w:rPr>
        <w:t>、分项报价表</w:t>
      </w:r>
    </w:p>
    <w:p w14:paraId="034F0DCB">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rPr>
        <w:t>七、资格证明材料</w:t>
      </w:r>
    </w:p>
    <w:p w14:paraId="487CB141">
      <w:pPr>
        <w:spacing w:line="600" w:lineRule="exact"/>
        <w:ind w:firstLine="1050" w:firstLineChars="500"/>
        <w:rPr>
          <w:rFonts w:hint="eastAsia" w:ascii="宋体" w:cs="宋体"/>
          <w:color w:val="auto"/>
          <w:kern w:val="0"/>
          <w:szCs w:val="21"/>
          <w:highlight w:val="none"/>
        </w:rPr>
      </w:pPr>
      <w:r>
        <w:rPr>
          <w:rFonts w:hint="eastAsia" w:ascii="宋体" w:cs="宋体"/>
          <w:color w:val="auto"/>
          <w:kern w:val="0"/>
          <w:szCs w:val="21"/>
          <w:highlight w:val="none"/>
        </w:rPr>
        <w:t>八、技术部分</w:t>
      </w:r>
    </w:p>
    <w:p w14:paraId="4D81B8DF">
      <w:pPr>
        <w:spacing w:line="600" w:lineRule="exact"/>
        <w:ind w:firstLine="1050" w:firstLineChars="500"/>
      </w:pPr>
      <w:r>
        <w:rPr>
          <w:rFonts w:hint="eastAsia" w:ascii="宋体" w:cs="宋体"/>
          <w:color w:val="auto"/>
          <w:kern w:val="0"/>
          <w:szCs w:val="21"/>
          <w:highlight w:val="none"/>
        </w:rPr>
        <w:t>九、技术规范偏离表</w:t>
      </w:r>
    </w:p>
    <w:p w14:paraId="6A155830">
      <w:pPr>
        <w:spacing w:line="600" w:lineRule="exact"/>
        <w:ind w:firstLine="1050" w:firstLineChars="500"/>
        <w:rPr>
          <w:rFonts w:ascii="宋体" w:cs="宋体"/>
          <w:color w:val="auto"/>
          <w:kern w:val="0"/>
          <w:szCs w:val="21"/>
          <w:highlight w:val="none"/>
        </w:rPr>
      </w:pPr>
      <w:r>
        <w:rPr>
          <w:rFonts w:hint="eastAsia" w:ascii="宋体" w:cs="宋体"/>
          <w:color w:val="auto"/>
          <w:kern w:val="0"/>
          <w:szCs w:val="21"/>
          <w:highlight w:val="none"/>
          <w:lang w:val="en-US" w:eastAsia="zh-CN"/>
        </w:rPr>
        <w:t>十</w:t>
      </w:r>
      <w:r>
        <w:rPr>
          <w:rFonts w:hint="eastAsia" w:ascii="宋体" w:cs="宋体"/>
          <w:color w:val="auto"/>
          <w:kern w:val="0"/>
          <w:szCs w:val="21"/>
          <w:highlight w:val="none"/>
        </w:rPr>
        <w:t>、无行贿犯罪记录和未被列入失信被执行人名单承诺书</w:t>
      </w:r>
    </w:p>
    <w:p w14:paraId="6EB724BF">
      <w:pPr>
        <w:spacing w:line="600" w:lineRule="exact"/>
        <w:ind w:firstLine="1050" w:firstLineChars="500"/>
        <w:rPr>
          <w:rFonts w:hint="eastAsia" w:ascii="宋体" w:cs="宋体"/>
          <w:color w:val="auto"/>
          <w:kern w:val="0"/>
          <w:szCs w:val="21"/>
          <w:highlight w:val="none"/>
        </w:rPr>
      </w:pPr>
      <w:r>
        <w:rPr>
          <w:rFonts w:hint="eastAsia" w:ascii="宋体" w:cs="宋体"/>
          <w:color w:val="auto"/>
          <w:kern w:val="0"/>
          <w:szCs w:val="21"/>
          <w:highlight w:val="none"/>
          <w:lang w:val="en-US" w:eastAsia="zh-CN"/>
        </w:rPr>
        <w:t>十一</w:t>
      </w:r>
      <w:r>
        <w:rPr>
          <w:rFonts w:hint="eastAsia" w:ascii="宋体" w:cs="宋体"/>
          <w:color w:val="auto"/>
          <w:kern w:val="0"/>
          <w:szCs w:val="21"/>
          <w:highlight w:val="none"/>
        </w:rPr>
        <w:t>、履约能力承诺</w:t>
      </w:r>
    </w:p>
    <w:p w14:paraId="2DE4414E">
      <w:pPr>
        <w:spacing w:line="600" w:lineRule="exact"/>
        <w:ind w:firstLine="1050" w:firstLineChars="500"/>
        <w:rPr>
          <w:rFonts w:hint="default" w:ascii="宋体" w:eastAsia="宋体" w:cs="宋体"/>
          <w:color w:val="auto"/>
          <w:kern w:val="0"/>
          <w:szCs w:val="21"/>
          <w:highlight w:val="none"/>
          <w:lang w:val="en-US" w:eastAsia="zh-CN"/>
        </w:rPr>
      </w:pPr>
      <w:r>
        <w:rPr>
          <w:rFonts w:hint="eastAsia" w:ascii="宋体" w:cs="宋体"/>
          <w:color w:val="auto"/>
          <w:kern w:val="0"/>
          <w:szCs w:val="21"/>
          <w:highlight w:val="none"/>
          <w:lang w:val="en-US" w:eastAsia="zh-CN"/>
        </w:rPr>
        <w:t>十二、其他资料</w:t>
      </w:r>
    </w:p>
    <w:p w14:paraId="7B2F92AF">
      <w:pPr>
        <w:pStyle w:val="3"/>
        <w:jc w:val="center"/>
        <w:rPr>
          <w:rFonts w:ascii="Times New Roman" w:hAnsi="Times New Roman"/>
          <w:color w:val="auto"/>
          <w:highlight w:val="none"/>
        </w:rPr>
      </w:pPr>
      <w:r>
        <w:rPr>
          <w:color w:val="auto"/>
          <w:szCs w:val="21"/>
          <w:highlight w:val="none"/>
        </w:rPr>
        <w:br w:type="page"/>
      </w:r>
      <w:bookmarkStart w:id="237" w:name="_Toc492300526"/>
      <w:r>
        <w:rPr>
          <w:rFonts w:ascii="Times New Roman" w:hAnsi="Times New Roman"/>
          <w:color w:val="auto"/>
          <w:highlight w:val="none"/>
        </w:rPr>
        <w:t>一、投标</w:t>
      </w:r>
      <w:bookmarkStart w:id="238" w:name="_Toc369531692"/>
      <w:bookmarkStart w:id="239" w:name="_Toc352691656"/>
      <w:bookmarkStart w:id="240" w:name="_Toc6931"/>
      <w:r>
        <w:rPr>
          <w:rFonts w:ascii="Times New Roman" w:hAnsi="Times New Roman"/>
          <w:color w:val="auto"/>
          <w:highlight w:val="none"/>
        </w:rPr>
        <w:t>函及投标函附录</w:t>
      </w:r>
      <w:bookmarkEnd w:id="237"/>
    </w:p>
    <w:bookmarkEnd w:id="238"/>
    <w:bookmarkEnd w:id="239"/>
    <w:bookmarkEnd w:id="240"/>
    <w:p w14:paraId="4D967B0F">
      <w:pPr>
        <w:pStyle w:val="4"/>
        <w:ind w:firstLine="137"/>
        <w:rPr>
          <w:color w:val="auto"/>
          <w:highlight w:val="none"/>
        </w:rPr>
      </w:pPr>
      <w:bookmarkStart w:id="241" w:name="_Toc482188651"/>
      <w:bookmarkStart w:id="242" w:name="_Toc370676426"/>
      <w:bookmarkStart w:id="243" w:name="_Toc391394111"/>
      <w:bookmarkStart w:id="244" w:name="_Toc359594235"/>
      <w:bookmarkStart w:id="245" w:name="_Toc385943065"/>
      <w:bookmarkStart w:id="246" w:name="_Toc492300527"/>
      <w:r>
        <w:rPr>
          <w:rFonts w:hint="eastAsia"/>
          <w:color w:val="auto"/>
          <w:highlight w:val="none"/>
        </w:rPr>
        <w:t>（一）投标函</w:t>
      </w:r>
      <w:bookmarkEnd w:id="241"/>
      <w:bookmarkEnd w:id="242"/>
      <w:bookmarkEnd w:id="243"/>
      <w:bookmarkEnd w:id="244"/>
      <w:bookmarkEnd w:id="245"/>
      <w:bookmarkEnd w:id="246"/>
    </w:p>
    <w:p w14:paraId="73B8949E">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2CE1B748">
      <w:pPr>
        <w:pStyle w:val="43"/>
        <w:spacing w:line="360" w:lineRule="auto"/>
        <w:ind w:firstLine="630" w:firstLineChars="300"/>
        <w:rPr>
          <w:color w:val="auto"/>
          <w:szCs w:val="21"/>
          <w:highlight w:val="none"/>
        </w:rPr>
      </w:pPr>
      <w:r>
        <w:rPr>
          <w:rFonts w:hint="eastAsia"/>
          <w:color w:val="auto"/>
          <w:szCs w:val="21"/>
          <w:highlight w:val="none"/>
        </w:rPr>
        <w:t xml:space="preserve">根据贵方 </w:t>
      </w:r>
      <w:r>
        <w:rPr>
          <w:color w:val="auto"/>
          <w:szCs w:val="21"/>
          <w:highlight w:val="none"/>
          <w:u w:val="single"/>
        </w:rPr>
        <w:t xml:space="preserve">                </w:t>
      </w:r>
      <w:r>
        <w:rPr>
          <w:rFonts w:hint="eastAsia"/>
          <w:color w:val="auto"/>
          <w:szCs w:val="21"/>
          <w:highlight w:val="none"/>
        </w:rPr>
        <w:t>（</w:t>
      </w:r>
      <w:r>
        <w:rPr>
          <w:rFonts w:hint="eastAsia"/>
          <w:color w:val="auto"/>
          <w:szCs w:val="21"/>
          <w:highlight w:val="none"/>
          <w:lang w:val="en-US" w:eastAsia="zh-CN"/>
        </w:rPr>
        <w:t>项目名称</w:t>
      </w:r>
      <w:r>
        <w:rPr>
          <w:rFonts w:hint="eastAsia"/>
          <w:color w:val="auto"/>
          <w:szCs w:val="21"/>
          <w:highlight w:val="none"/>
        </w:rPr>
        <w:t xml:space="preserve">）的招标文件，我方 </w:t>
      </w:r>
      <w:r>
        <w:rPr>
          <w:color w:val="auto"/>
          <w:szCs w:val="21"/>
          <w:highlight w:val="none"/>
          <w:u w:val="single"/>
        </w:rPr>
        <w:t xml:space="preserve">               </w:t>
      </w:r>
      <w:r>
        <w:rPr>
          <w:rFonts w:hint="eastAsia"/>
          <w:color w:val="auto"/>
          <w:szCs w:val="21"/>
          <w:highlight w:val="none"/>
        </w:rPr>
        <w:t>（投标人名称）作为</w:t>
      </w:r>
      <w:r>
        <w:rPr>
          <w:rFonts w:hint="eastAsia"/>
          <w:color w:val="auto"/>
          <w:szCs w:val="21"/>
          <w:highlight w:val="none"/>
          <w:lang w:eastAsia="zh-CN"/>
        </w:rPr>
        <w:t>投标人</w:t>
      </w:r>
      <w:r>
        <w:rPr>
          <w:rFonts w:hint="eastAsia"/>
          <w:color w:val="auto"/>
          <w:szCs w:val="21"/>
          <w:highlight w:val="none"/>
        </w:rPr>
        <w:t>，并正式授权</w:t>
      </w:r>
      <w:r>
        <w:rPr>
          <w:color w:val="auto"/>
          <w:szCs w:val="21"/>
          <w:highlight w:val="none"/>
          <w:u w:val="single"/>
        </w:rPr>
        <w:t xml:space="preserve">              </w:t>
      </w:r>
      <w:r>
        <w:rPr>
          <w:rFonts w:hint="eastAsia"/>
          <w:color w:val="auto"/>
          <w:szCs w:val="21"/>
          <w:highlight w:val="none"/>
        </w:rPr>
        <w:t>（授权代表全名、职务）代表我方进行有关本次招标的一切事宜。我方完全同意《招标文件》的所有条款要求，决定参加本项目。</w:t>
      </w:r>
    </w:p>
    <w:p w14:paraId="303B1477">
      <w:pPr>
        <w:pStyle w:val="43"/>
        <w:numPr>
          <w:ilvl w:val="0"/>
          <w:numId w:val="14"/>
        </w:numPr>
        <w:spacing w:line="360" w:lineRule="auto"/>
        <w:ind w:firstLine="630" w:firstLineChars="300"/>
        <w:rPr>
          <w:rFonts w:hint="default"/>
          <w:color w:val="auto"/>
          <w:highlight w:val="none"/>
          <w:lang w:val="en-US" w:eastAsia="zh-CN"/>
        </w:rPr>
      </w:pPr>
      <w:r>
        <w:rPr>
          <w:rFonts w:hint="eastAsia"/>
          <w:color w:val="auto"/>
          <w:szCs w:val="21"/>
          <w:highlight w:val="none"/>
          <w:lang w:val="en-US" w:eastAsia="zh-CN"/>
        </w:rPr>
        <w:t>投标报价</w:t>
      </w:r>
      <w:r>
        <w:rPr>
          <w:rFonts w:hint="eastAsia"/>
          <w:color w:val="auto"/>
          <w:szCs w:val="21"/>
          <w:highlight w:val="none"/>
        </w:rPr>
        <w:t>为</w:t>
      </w:r>
      <w:r>
        <w:rPr>
          <w:color w:val="auto"/>
          <w:szCs w:val="21"/>
          <w:highlight w:val="none"/>
        </w:rPr>
        <w:t>人民币</w:t>
      </w:r>
      <w:r>
        <w:rPr>
          <w:rFonts w:hint="eastAsia"/>
          <w:color w:val="auto"/>
          <w:szCs w:val="21"/>
          <w:highlight w:val="none"/>
        </w:rPr>
        <w:t>：</w:t>
      </w:r>
      <w:r>
        <w:rPr>
          <w:rFonts w:hint="eastAsia"/>
          <w:color w:val="auto"/>
          <w:szCs w:val="21"/>
          <w:highlight w:val="none"/>
          <w:u w:val="single"/>
          <w:lang w:val="en-US" w:eastAsia="zh-CN"/>
        </w:rPr>
        <w:t>大写：             元；（小写：        元）。</w:t>
      </w:r>
    </w:p>
    <w:p w14:paraId="3CF2EB2A">
      <w:pPr>
        <w:pStyle w:val="43"/>
        <w:spacing w:line="360" w:lineRule="auto"/>
        <w:ind w:firstLine="630" w:firstLineChars="300"/>
        <w:rPr>
          <w:color w:val="auto"/>
          <w:highlight w:val="none"/>
        </w:rPr>
      </w:pPr>
      <w:r>
        <w:rPr>
          <w:rFonts w:hint="eastAsia"/>
          <w:color w:val="auto"/>
          <w:highlight w:val="none"/>
        </w:rPr>
        <w:t>2、</w:t>
      </w:r>
      <w:r>
        <w:rPr>
          <w:rFonts w:hint="eastAsia"/>
          <w:color w:val="auto"/>
          <w:highlight w:val="none"/>
          <w:lang w:eastAsia="zh-CN"/>
        </w:rPr>
        <w:t>供货时间/服务期限</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u w:val="none"/>
          <w:lang w:eastAsia="zh-CN"/>
        </w:rPr>
        <w:t>。</w:t>
      </w:r>
    </w:p>
    <w:p w14:paraId="1BB73948">
      <w:pPr>
        <w:pStyle w:val="43"/>
        <w:spacing w:line="360" w:lineRule="auto"/>
        <w:ind w:firstLine="630" w:firstLineChars="300"/>
        <w:rPr>
          <w:color w:val="auto"/>
          <w:highlight w:val="none"/>
        </w:rPr>
      </w:pPr>
      <w:r>
        <w:rPr>
          <w:rFonts w:hint="eastAsia"/>
          <w:color w:val="auto"/>
          <w:highlight w:val="none"/>
        </w:rPr>
        <w:t>3、一旦我方中标，我方保证按甲方具体下达任务时间，积极完成要求的工作任务，并确保项目质量</w:t>
      </w:r>
      <w:r>
        <w:rPr>
          <w:rFonts w:hint="eastAsia"/>
          <w:color w:val="auto"/>
          <w:highlight w:val="none"/>
          <w:u w:val="none"/>
        </w:rPr>
        <w:t>达到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B509096">
      <w:pPr>
        <w:pStyle w:val="43"/>
        <w:spacing w:line="360" w:lineRule="auto"/>
        <w:ind w:firstLine="630" w:firstLineChars="300"/>
        <w:rPr>
          <w:color w:val="auto"/>
          <w:highlight w:val="none"/>
        </w:rPr>
      </w:pPr>
      <w:r>
        <w:rPr>
          <w:rFonts w:hint="eastAsia"/>
          <w:color w:val="auto"/>
          <w:highlight w:val="none"/>
        </w:rPr>
        <w:t>4、我们承诺本投标函以及投标文件的其他部分作为我方投标的组成部分。</w:t>
      </w:r>
    </w:p>
    <w:p w14:paraId="3153CF36">
      <w:pPr>
        <w:pStyle w:val="43"/>
        <w:spacing w:line="360" w:lineRule="auto"/>
        <w:ind w:firstLine="630" w:firstLineChars="300"/>
        <w:rPr>
          <w:color w:val="auto"/>
          <w:highlight w:val="none"/>
        </w:rPr>
      </w:pPr>
      <w:r>
        <w:rPr>
          <w:rFonts w:hint="eastAsia"/>
          <w:color w:val="auto"/>
          <w:highlight w:val="none"/>
        </w:rPr>
        <w:t>5、如果中标，我们保证按招标文件和承诺报价书的要求和贵方签订委托协议，按投标文件的承诺安排专业人员实施服务。</w:t>
      </w:r>
    </w:p>
    <w:p w14:paraId="1DAF8AD4">
      <w:pPr>
        <w:pStyle w:val="43"/>
        <w:spacing w:line="360" w:lineRule="auto"/>
        <w:ind w:firstLine="630" w:firstLineChars="300"/>
        <w:rPr>
          <w:color w:val="auto"/>
          <w:highlight w:val="none"/>
        </w:rPr>
      </w:pPr>
      <w:r>
        <w:rPr>
          <w:rFonts w:hint="eastAsia"/>
          <w:color w:val="auto"/>
          <w:highlight w:val="none"/>
        </w:rPr>
        <w:t>6、投标文件有效期：自投标文件递交截止之日起90日历天。</w:t>
      </w:r>
    </w:p>
    <w:p w14:paraId="0992B231">
      <w:pPr>
        <w:pStyle w:val="43"/>
        <w:spacing w:line="360" w:lineRule="auto"/>
        <w:ind w:firstLine="630" w:firstLineChars="300"/>
        <w:rPr>
          <w:color w:val="auto"/>
          <w:highlight w:val="none"/>
        </w:rPr>
      </w:pPr>
      <w:r>
        <w:rPr>
          <w:rFonts w:hint="eastAsia"/>
          <w:color w:val="auto"/>
          <w:highlight w:val="none"/>
        </w:rPr>
        <w:t>7、所提交的材料中所含的信息均为真实、准确、完整，且不具有任何误导性。</w:t>
      </w:r>
    </w:p>
    <w:p w14:paraId="21A240E1">
      <w:pPr>
        <w:pStyle w:val="43"/>
        <w:spacing w:line="360" w:lineRule="auto"/>
        <w:ind w:firstLine="630" w:firstLineChars="300"/>
        <w:rPr>
          <w:color w:val="auto"/>
          <w:highlight w:val="none"/>
        </w:rPr>
      </w:pPr>
      <w:r>
        <w:rPr>
          <w:rFonts w:hint="eastAsia"/>
          <w:color w:val="auto"/>
          <w:highlight w:val="none"/>
        </w:rPr>
        <w:t>8、我方已详细审查全部《招标文件》，包括修改文件（如有的话）和有关附件，将自行承担因对全部《招标文件》理解不正确或误解而产生的相应后果。</w:t>
      </w:r>
    </w:p>
    <w:p w14:paraId="077613B7">
      <w:pPr>
        <w:pStyle w:val="43"/>
        <w:spacing w:line="360" w:lineRule="auto"/>
        <w:ind w:firstLine="630" w:firstLineChars="300"/>
        <w:rPr>
          <w:color w:val="auto"/>
          <w:highlight w:val="none"/>
        </w:rPr>
      </w:pPr>
      <w:r>
        <w:rPr>
          <w:rFonts w:hint="eastAsia"/>
          <w:color w:val="auto"/>
          <w:highlight w:val="none"/>
        </w:rPr>
        <w:t>9、将按《招标文件》的规定履行合同责任和义务，承诺在人员、设备、资金等方面满足相应的要求</w:t>
      </w:r>
      <w:r>
        <w:rPr>
          <w:rFonts w:hint="eastAsia"/>
          <w:color w:val="auto"/>
          <w:highlight w:val="none"/>
          <w:lang w:eastAsia="zh-CN"/>
        </w:rPr>
        <w:t>及</w:t>
      </w:r>
      <w:r>
        <w:rPr>
          <w:rFonts w:hint="eastAsia"/>
          <w:color w:val="auto"/>
          <w:highlight w:val="none"/>
        </w:rPr>
        <w:t>能力。</w:t>
      </w:r>
    </w:p>
    <w:p w14:paraId="5AC7A4A6">
      <w:pPr>
        <w:pStyle w:val="43"/>
        <w:spacing w:line="360" w:lineRule="auto"/>
        <w:ind w:firstLine="630" w:firstLineChars="300"/>
        <w:rPr>
          <w:rFonts w:hint="eastAsia"/>
          <w:color w:val="auto"/>
          <w:highlight w:val="none"/>
          <w:u w:val="single"/>
          <w:lang w:val="en-US" w:eastAsia="zh-CN"/>
        </w:rPr>
      </w:pPr>
      <w:r>
        <w:rPr>
          <w:rFonts w:hint="eastAsia" w:eastAsia="宋体"/>
          <w:color w:val="auto"/>
          <w:highlight w:val="none"/>
        </w:rPr>
        <w:t>10、</w:t>
      </w:r>
      <w:r>
        <w:rPr>
          <w:rFonts w:hint="eastAsia"/>
          <w:color w:val="auto"/>
          <w:highlight w:val="none"/>
          <w:lang w:val="en-US" w:eastAsia="zh-CN"/>
        </w:rPr>
        <w:t>投标范围</w:t>
      </w:r>
      <w:r>
        <w:rPr>
          <w:rFonts w:hint="eastAsia" w:eastAsia="宋体"/>
          <w:color w:val="auto"/>
          <w:highlight w:val="none"/>
        </w:rPr>
        <w:t>：</w:t>
      </w:r>
      <w:r>
        <w:rPr>
          <w:rFonts w:hint="eastAsia"/>
          <w:color w:val="auto"/>
          <w:highlight w:val="none"/>
          <w:u w:val="single"/>
          <w:lang w:val="en-US" w:eastAsia="zh-CN"/>
        </w:rPr>
        <w:t xml:space="preserve">                                                     。</w:t>
      </w:r>
    </w:p>
    <w:p w14:paraId="3EBB5907">
      <w:pPr>
        <w:pStyle w:val="43"/>
        <w:spacing w:line="360" w:lineRule="auto"/>
        <w:ind w:firstLine="630" w:firstLineChars="300"/>
        <w:rPr>
          <w:rFonts w:hint="eastAsia" w:eastAsia="宋体"/>
          <w:color w:val="auto"/>
          <w:highlight w:val="none"/>
        </w:rPr>
      </w:pPr>
      <w:r>
        <w:rPr>
          <w:rFonts w:hint="eastAsia" w:eastAsia="宋体"/>
          <w:color w:val="auto"/>
          <w:highlight w:val="none"/>
        </w:rPr>
        <w:t>1</w:t>
      </w:r>
      <w:r>
        <w:rPr>
          <w:rFonts w:hint="eastAsia"/>
          <w:color w:val="auto"/>
          <w:highlight w:val="none"/>
          <w:lang w:val="en-US" w:eastAsia="zh-CN"/>
        </w:rPr>
        <w:t>1</w:t>
      </w:r>
      <w:r>
        <w:rPr>
          <w:rFonts w:hint="eastAsia" w:eastAsia="宋体"/>
          <w:color w:val="auto"/>
          <w:highlight w:val="none"/>
        </w:rPr>
        <w:t>、我方同意提供招标人与评标委员会要求的有关评标的一切数据或资料。</w:t>
      </w:r>
    </w:p>
    <w:p w14:paraId="3FAA6E3B">
      <w:pPr>
        <w:pStyle w:val="43"/>
        <w:spacing w:line="360" w:lineRule="auto"/>
        <w:ind w:firstLine="630" w:firstLineChars="30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、我方同意如在本项目文件开启后、有效期之内撤销响应文件，或中标后未在规定期限内签订合同，贵方将不退还投标保证金。</w:t>
      </w:r>
    </w:p>
    <w:p w14:paraId="3F70334E">
      <w:pPr>
        <w:spacing w:line="360" w:lineRule="auto"/>
        <w:ind w:firstLine="630" w:firstLineChars="30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、我方如果中标，保证履行招标文件中承诺的全部责任和义务。</w:t>
      </w:r>
    </w:p>
    <w:p w14:paraId="09C2D114">
      <w:pPr>
        <w:spacing w:line="360" w:lineRule="auto"/>
        <w:ind w:firstLine="630" w:firstLineChars="300"/>
        <w:rPr>
          <w:rFonts w:hint="eastAsia" w:ascii="宋体" w:hAnsi="宋体"/>
          <w:color w:val="auto"/>
          <w:szCs w:val="21"/>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w:t>
      </w:r>
      <w:r>
        <w:rPr>
          <w:rFonts w:hint="eastAsia" w:ascii="宋体" w:hAnsi="宋体"/>
          <w:color w:val="auto"/>
          <w:szCs w:val="21"/>
          <w:highlight w:val="none"/>
        </w:rPr>
        <w:t>如我方中标，我方承诺：</w:t>
      </w:r>
      <w:r>
        <w:rPr>
          <w:rFonts w:hint="eastAsia" w:ascii="宋体" w:hAnsi="宋体"/>
          <w:b/>
          <w:bCs/>
          <w:color w:val="auto"/>
          <w:szCs w:val="21"/>
          <w:highlight w:val="none"/>
        </w:rPr>
        <w:t xml:space="preserve">  </w:t>
      </w:r>
      <w:r>
        <w:rPr>
          <w:rFonts w:hint="eastAsia" w:ascii="宋体" w:hAnsi="宋体"/>
          <w:color w:val="auto"/>
          <w:szCs w:val="21"/>
          <w:highlight w:val="none"/>
        </w:rPr>
        <w:t xml:space="preserve">                  </w:t>
      </w:r>
    </w:p>
    <w:p w14:paraId="1B62F95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）在收到中标通知书后，在中标通知书规定的期限内与你方签订合同；</w:t>
      </w:r>
    </w:p>
    <w:p w14:paraId="34AA7D2B">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）在签订合同时不向你方提出附加条件；</w:t>
      </w:r>
    </w:p>
    <w:p w14:paraId="554CF84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）按照招标文件要求提交履约保证金；</w:t>
      </w:r>
    </w:p>
    <w:p w14:paraId="0B5FDB2A">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）在合同约定的期限内完成合同规定的全部义务。</w:t>
      </w:r>
    </w:p>
    <w:p w14:paraId="536A3A6A">
      <w:pPr>
        <w:pStyle w:val="43"/>
        <w:spacing w:line="360" w:lineRule="auto"/>
        <w:ind w:firstLine="630" w:firstLineChars="300"/>
        <w:rPr>
          <w:color w:val="auto"/>
          <w:highlight w:val="none"/>
        </w:rPr>
      </w:pPr>
    </w:p>
    <w:p w14:paraId="1035E022">
      <w:pPr>
        <w:pStyle w:val="43"/>
        <w:spacing w:line="360" w:lineRule="auto"/>
        <w:ind w:firstLine="0" w:firstLineChars="0"/>
        <w:rPr>
          <w:color w:val="auto"/>
          <w:highlight w:val="none"/>
        </w:rPr>
      </w:pPr>
    </w:p>
    <w:p w14:paraId="71D87704">
      <w:pPr>
        <w:pStyle w:val="43"/>
        <w:spacing w:line="360" w:lineRule="auto"/>
        <w:ind w:firstLine="210"/>
        <w:rPr>
          <w:color w:val="auto"/>
          <w:highlight w:val="none"/>
        </w:rPr>
      </w:pPr>
    </w:p>
    <w:p w14:paraId="58370532">
      <w:pPr>
        <w:spacing w:line="360" w:lineRule="auto"/>
        <w:ind w:firstLine="2520" w:firstLineChars="1200"/>
        <w:jc w:val="left"/>
        <w:rPr>
          <w:color w:val="auto"/>
          <w:szCs w:val="21"/>
          <w:highlight w:val="none"/>
        </w:rPr>
      </w:pPr>
      <w:bookmarkStart w:id="247" w:name="_Toc16568"/>
      <w:bookmarkEnd w:id="247"/>
      <w:bookmarkStart w:id="248" w:name="_Toc352691659"/>
      <w:bookmarkEnd w:id="248"/>
      <w:bookmarkStart w:id="249" w:name="_Toc16824"/>
      <w:bookmarkEnd w:id="249"/>
      <w:bookmarkStart w:id="250" w:name="_Toc352691660"/>
      <w:bookmarkEnd w:id="250"/>
      <w:bookmarkStart w:id="251" w:name="_Toc369531695"/>
      <w:bookmarkEnd w:id="251"/>
      <w:bookmarkStart w:id="252" w:name="_Toc369531696"/>
      <w:bookmarkEnd w:id="252"/>
      <w:r>
        <w:rPr>
          <w:color w:val="auto"/>
          <w:szCs w:val="21"/>
          <w:highlight w:val="none"/>
        </w:rPr>
        <w:t>投 标 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u w:val="single"/>
        </w:rPr>
        <w:tab/>
      </w:r>
      <w:r>
        <w:rPr>
          <w:color w:val="auto"/>
          <w:szCs w:val="21"/>
          <w:highlight w:val="none"/>
        </w:rPr>
        <w:t>（</w:t>
      </w:r>
      <w:r>
        <w:rPr>
          <w:rFonts w:hint="eastAsia" w:ascii="宋体" w:hAnsi="宋体"/>
          <w:color w:val="auto"/>
          <w:szCs w:val="21"/>
          <w:highlight w:val="none"/>
        </w:rPr>
        <w:t>单位公章</w:t>
      </w:r>
      <w:r>
        <w:rPr>
          <w:color w:val="auto"/>
          <w:szCs w:val="21"/>
          <w:highlight w:val="none"/>
        </w:rPr>
        <w:t>）</w:t>
      </w:r>
    </w:p>
    <w:p w14:paraId="615B514A">
      <w:pPr>
        <w:spacing w:line="360" w:lineRule="auto"/>
        <w:jc w:val="left"/>
        <w:rPr>
          <w:color w:val="auto"/>
          <w:szCs w:val="21"/>
          <w:highlight w:val="none"/>
        </w:rPr>
      </w:pPr>
      <w:r>
        <w:rPr>
          <w:color w:val="auto"/>
          <w:highlight w:val="none"/>
        </w:rPr>
        <w:t xml:space="preserve">                        法定代表人</w:t>
      </w:r>
      <w:r>
        <w:rPr>
          <w:color w:val="auto"/>
          <w:szCs w:val="21"/>
          <w:highlight w:val="none"/>
        </w:rPr>
        <w:t>或其委托代理人：</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u w:val="single"/>
        </w:rPr>
        <w:tab/>
      </w:r>
      <w:r>
        <w:rPr>
          <w:color w:val="auto"/>
          <w:szCs w:val="21"/>
          <w:highlight w:val="none"/>
        </w:rPr>
        <w:t>（签字</w:t>
      </w:r>
      <w:r>
        <w:rPr>
          <w:rFonts w:hint="eastAsia"/>
          <w:color w:val="auto"/>
          <w:szCs w:val="21"/>
          <w:highlight w:val="none"/>
        </w:rPr>
        <w:t>或盖章</w:t>
      </w:r>
      <w:r>
        <w:rPr>
          <w:color w:val="auto"/>
          <w:szCs w:val="21"/>
          <w:highlight w:val="none"/>
        </w:rPr>
        <w:t>）</w:t>
      </w:r>
    </w:p>
    <w:p w14:paraId="7CE55B0D">
      <w:pPr>
        <w:spacing w:line="360" w:lineRule="auto"/>
        <w:ind w:firstLine="2520" w:firstLineChars="1200"/>
        <w:jc w:val="left"/>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68E0A2D1">
      <w:pPr>
        <w:spacing w:line="360" w:lineRule="auto"/>
        <w:ind w:firstLine="2520" w:firstLineChars="1200"/>
        <w:jc w:val="left"/>
        <w:rPr>
          <w:color w:val="auto"/>
          <w:szCs w:val="21"/>
          <w:highlight w:val="none"/>
        </w:rPr>
      </w:pPr>
      <w:r>
        <w:rPr>
          <w:color w:val="auto"/>
          <w:szCs w:val="21"/>
          <w:highlight w:val="none"/>
        </w:rPr>
        <w:t>网    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32AE3549">
      <w:pPr>
        <w:spacing w:line="360" w:lineRule="auto"/>
        <w:ind w:firstLine="2520" w:firstLineChars="1200"/>
        <w:jc w:val="left"/>
        <w:rPr>
          <w:color w:val="auto"/>
          <w:szCs w:val="21"/>
          <w:highlight w:val="none"/>
        </w:rPr>
      </w:pPr>
      <w:r>
        <w:rPr>
          <w:color w:val="auto"/>
          <w:szCs w:val="21"/>
          <w:highlight w:val="none"/>
        </w:rPr>
        <w:t>电    话：</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0B080DB4">
      <w:pPr>
        <w:spacing w:line="360" w:lineRule="auto"/>
        <w:ind w:firstLine="2520" w:firstLineChars="1200"/>
        <w:jc w:val="left"/>
        <w:rPr>
          <w:color w:val="auto"/>
          <w:szCs w:val="21"/>
          <w:highlight w:val="none"/>
        </w:rPr>
      </w:pPr>
      <w:r>
        <w:rPr>
          <w:color w:val="auto"/>
          <w:szCs w:val="21"/>
          <w:highlight w:val="none"/>
        </w:rPr>
        <w:t>传    真：</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2B851D63">
      <w:pPr>
        <w:spacing w:line="360" w:lineRule="auto"/>
        <w:ind w:firstLine="2520" w:firstLineChars="1200"/>
        <w:jc w:val="left"/>
        <w:rPr>
          <w:color w:val="auto"/>
          <w:szCs w:val="21"/>
          <w:highlight w:val="none"/>
        </w:rPr>
      </w:pPr>
      <w:r>
        <w:rPr>
          <w:color w:val="auto"/>
          <w:szCs w:val="21"/>
          <w:highlight w:val="none"/>
        </w:rPr>
        <w:t>邮政编码：</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2305B65B">
      <w:pPr>
        <w:spacing w:line="360" w:lineRule="auto"/>
        <w:ind w:firstLine="4725" w:firstLineChars="2250"/>
        <w:jc w:val="right"/>
        <w:rPr>
          <w:color w:val="auto"/>
          <w:szCs w:val="21"/>
          <w:highlight w:val="none"/>
        </w:rPr>
      </w:pPr>
      <w:r>
        <w:rPr>
          <w:color w:val="auto"/>
          <w:highlight w:val="none"/>
          <w:u w:val="single"/>
        </w:rPr>
        <w:t xml:space="preserve">      </w:t>
      </w:r>
      <w:r>
        <w:rPr>
          <w:color w:val="auto"/>
          <w:szCs w:val="21"/>
          <w:highlight w:val="none"/>
        </w:rPr>
        <w:t>年</w:t>
      </w:r>
      <w:r>
        <w:rPr>
          <w:color w:val="auto"/>
          <w:highlight w:val="none"/>
          <w:u w:val="single"/>
        </w:rPr>
        <w:t xml:space="preserve">      </w:t>
      </w:r>
      <w:r>
        <w:rPr>
          <w:color w:val="auto"/>
          <w:szCs w:val="21"/>
          <w:highlight w:val="none"/>
        </w:rPr>
        <w:t>月</w:t>
      </w:r>
      <w:r>
        <w:rPr>
          <w:color w:val="auto"/>
          <w:highlight w:val="none"/>
          <w:u w:val="single"/>
        </w:rPr>
        <w:t xml:space="preserve">      </w:t>
      </w:r>
      <w:r>
        <w:rPr>
          <w:color w:val="auto"/>
          <w:szCs w:val="21"/>
          <w:highlight w:val="none"/>
        </w:rPr>
        <w:t>日</w:t>
      </w:r>
    </w:p>
    <w:p w14:paraId="223D4A8D">
      <w:pPr>
        <w:spacing w:line="480" w:lineRule="auto"/>
        <w:ind w:right="840"/>
        <w:rPr>
          <w:rFonts w:ascii="Calibri" w:hAnsi="Calibri"/>
          <w:color w:val="auto"/>
          <w:szCs w:val="22"/>
          <w:highlight w:val="none"/>
          <w:u w:val="single"/>
        </w:rPr>
      </w:pPr>
    </w:p>
    <w:p w14:paraId="1F28380B">
      <w:pPr>
        <w:jc w:val="center"/>
        <w:rPr>
          <w:rFonts w:ascii="宋体" w:hAnsi="宋体"/>
          <w:b/>
          <w:color w:val="auto"/>
          <w:sz w:val="36"/>
          <w:szCs w:val="36"/>
          <w:highlight w:val="none"/>
        </w:rPr>
      </w:pPr>
    </w:p>
    <w:p w14:paraId="60C0EC09">
      <w:pPr>
        <w:pStyle w:val="2"/>
        <w:rPr>
          <w:rFonts w:ascii="宋体" w:hAnsi="宋体"/>
          <w:b/>
          <w:color w:val="auto"/>
          <w:sz w:val="36"/>
          <w:szCs w:val="36"/>
          <w:highlight w:val="none"/>
        </w:rPr>
      </w:pPr>
    </w:p>
    <w:p w14:paraId="62A14112">
      <w:pPr>
        <w:rPr>
          <w:rFonts w:ascii="宋体" w:hAnsi="宋体"/>
          <w:b/>
          <w:color w:val="auto"/>
          <w:sz w:val="36"/>
          <w:szCs w:val="36"/>
          <w:highlight w:val="none"/>
        </w:rPr>
      </w:pPr>
    </w:p>
    <w:p w14:paraId="50AA1D5C">
      <w:pPr>
        <w:pStyle w:val="2"/>
        <w:rPr>
          <w:rFonts w:ascii="宋体" w:hAnsi="宋体"/>
          <w:b/>
          <w:color w:val="auto"/>
          <w:sz w:val="36"/>
          <w:szCs w:val="36"/>
          <w:highlight w:val="none"/>
        </w:rPr>
      </w:pPr>
    </w:p>
    <w:p w14:paraId="68B62935">
      <w:pPr>
        <w:rPr>
          <w:rFonts w:ascii="宋体" w:hAnsi="宋体"/>
          <w:b/>
          <w:color w:val="auto"/>
          <w:sz w:val="36"/>
          <w:szCs w:val="36"/>
          <w:highlight w:val="none"/>
        </w:rPr>
      </w:pPr>
    </w:p>
    <w:p w14:paraId="302B7844">
      <w:pPr>
        <w:pStyle w:val="2"/>
        <w:rPr>
          <w:highlight w:val="none"/>
        </w:rPr>
      </w:pPr>
    </w:p>
    <w:p w14:paraId="5E18DE2D">
      <w:pPr>
        <w:pStyle w:val="43"/>
        <w:rPr>
          <w:rFonts w:ascii="宋体" w:hAnsi="宋体"/>
          <w:b/>
          <w:color w:val="auto"/>
          <w:sz w:val="36"/>
          <w:szCs w:val="36"/>
          <w:highlight w:val="none"/>
        </w:rPr>
      </w:pPr>
    </w:p>
    <w:p w14:paraId="1255176B">
      <w:pPr>
        <w:rPr>
          <w:highlight w:val="none"/>
        </w:rPr>
      </w:pPr>
    </w:p>
    <w:p w14:paraId="327119E2">
      <w:pPr>
        <w:jc w:val="center"/>
        <w:rPr>
          <w:rFonts w:ascii="宋体" w:hAnsi="宋体"/>
          <w:b/>
          <w:color w:val="auto"/>
          <w:sz w:val="36"/>
          <w:szCs w:val="36"/>
          <w:highlight w:val="none"/>
        </w:rPr>
      </w:pPr>
    </w:p>
    <w:p w14:paraId="05834B4E">
      <w:pPr>
        <w:jc w:val="center"/>
        <w:rPr>
          <w:rFonts w:ascii="宋体" w:hAnsi="宋体"/>
          <w:b/>
          <w:color w:val="auto"/>
          <w:sz w:val="36"/>
          <w:szCs w:val="36"/>
          <w:highlight w:val="none"/>
        </w:rPr>
      </w:pPr>
    </w:p>
    <w:p w14:paraId="002D5F38">
      <w:pPr>
        <w:rPr>
          <w:rFonts w:hint="eastAsia" w:eastAsia="黑体"/>
          <w:color w:val="auto"/>
          <w:sz w:val="28"/>
          <w:szCs w:val="28"/>
          <w:highlight w:val="none"/>
        </w:rPr>
      </w:pPr>
      <w:bookmarkStart w:id="253" w:name="_Toc391394112"/>
      <w:bookmarkStart w:id="254" w:name="_Toc385943066"/>
      <w:bookmarkStart w:id="255" w:name="_Toc359594236"/>
      <w:bookmarkStart w:id="256" w:name="_Toc370676427"/>
      <w:bookmarkStart w:id="257" w:name="_Toc482188652"/>
      <w:bookmarkStart w:id="258" w:name="_Toc492300528"/>
      <w:r>
        <w:rPr>
          <w:rFonts w:hint="eastAsia" w:eastAsia="黑体"/>
          <w:color w:val="auto"/>
          <w:sz w:val="28"/>
          <w:szCs w:val="28"/>
          <w:highlight w:val="none"/>
        </w:rPr>
        <w:br w:type="page"/>
      </w:r>
    </w:p>
    <w:p w14:paraId="1B906B32">
      <w:pPr>
        <w:keepNext/>
        <w:widowControl/>
        <w:spacing w:before="240" w:after="60"/>
        <w:ind w:firstLine="137"/>
        <w:jc w:val="left"/>
        <w:outlineLvl w:val="2"/>
        <w:rPr>
          <w:rFonts w:eastAsia="黑体"/>
          <w:color w:val="auto"/>
          <w:sz w:val="28"/>
          <w:szCs w:val="28"/>
          <w:highlight w:val="none"/>
        </w:rPr>
      </w:pPr>
      <w:r>
        <w:rPr>
          <w:rFonts w:hint="eastAsia" w:eastAsia="黑体"/>
          <w:color w:val="auto"/>
          <w:sz w:val="28"/>
          <w:szCs w:val="28"/>
          <w:highlight w:val="none"/>
        </w:rPr>
        <w:t>（二）投标函附录</w:t>
      </w:r>
    </w:p>
    <w:bookmarkEnd w:id="253"/>
    <w:bookmarkEnd w:id="254"/>
    <w:bookmarkEnd w:id="255"/>
    <w:bookmarkEnd w:id="256"/>
    <w:bookmarkEnd w:id="257"/>
    <w:bookmarkEnd w:id="258"/>
    <w:tbl>
      <w:tblPr>
        <w:tblStyle w:val="4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80"/>
        <w:gridCol w:w="1380"/>
        <w:gridCol w:w="3491"/>
        <w:gridCol w:w="1164"/>
      </w:tblGrid>
      <w:tr w14:paraId="542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056" w:type="dxa"/>
            <w:vAlign w:val="center"/>
          </w:tcPr>
          <w:p w14:paraId="72BEA7ED">
            <w:pPr>
              <w:widowControl/>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680" w:type="dxa"/>
            <w:vAlign w:val="center"/>
          </w:tcPr>
          <w:p w14:paraId="7EEA36FE">
            <w:pPr>
              <w:widowControl/>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1380" w:type="dxa"/>
            <w:vAlign w:val="center"/>
          </w:tcPr>
          <w:p w14:paraId="079BB39C">
            <w:pPr>
              <w:widowControl/>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合同条款号</w:t>
            </w:r>
          </w:p>
        </w:tc>
        <w:tc>
          <w:tcPr>
            <w:tcW w:w="3491" w:type="dxa"/>
            <w:vAlign w:val="center"/>
          </w:tcPr>
          <w:p w14:paraId="4EE4FBB0">
            <w:pPr>
              <w:widowControl/>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约定内容</w:t>
            </w:r>
          </w:p>
        </w:tc>
        <w:tc>
          <w:tcPr>
            <w:tcW w:w="1164" w:type="dxa"/>
            <w:vAlign w:val="center"/>
          </w:tcPr>
          <w:p w14:paraId="302E199A">
            <w:pPr>
              <w:widowControl/>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备注</w:t>
            </w:r>
          </w:p>
        </w:tc>
      </w:tr>
      <w:tr w14:paraId="71AC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466C1212">
            <w:pPr>
              <w:widowControl/>
              <w:spacing w:before="100" w:beforeAutospacing="1" w:after="100" w:afterAutospacing="1"/>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680" w:type="dxa"/>
            <w:vAlign w:val="center"/>
          </w:tcPr>
          <w:p w14:paraId="0E9BE77C">
            <w:pPr>
              <w:widowControl/>
              <w:spacing w:before="100" w:beforeAutospacing="1" w:after="100" w:afterAutospacing="1"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项目负责人</w:t>
            </w:r>
          </w:p>
        </w:tc>
        <w:tc>
          <w:tcPr>
            <w:tcW w:w="1380" w:type="dxa"/>
            <w:vAlign w:val="center"/>
          </w:tcPr>
          <w:p w14:paraId="00624C10">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vAlign w:val="center"/>
          </w:tcPr>
          <w:p w14:paraId="44B29112">
            <w:pPr>
              <w:widowControl/>
              <w:spacing w:before="100" w:beforeAutospacing="1" w:after="100" w:afterAutospacing="1" w:line="44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姓名： </w:t>
            </w:r>
          </w:p>
          <w:p w14:paraId="733D34CF">
            <w:pPr>
              <w:widowControl/>
              <w:spacing w:before="100" w:beforeAutospacing="1" w:after="100" w:afterAutospacing="1" w:line="440" w:lineRule="exact"/>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电话号码：</w:t>
            </w:r>
          </w:p>
          <w:p w14:paraId="6507B955">
            <w:pPr>
              <w:widowControl/>
              <w:spacing w:before="100" w:beforeAutospacing="1" w:after="100" w:afterAutospacing="1" w:line="440" w:lineRule="exact"/>
              <w:jc w:val="left"/>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电子邮箱：</w:t>
            </w:r>
          </w:p>
        </w:tc>
        <w:tc>
          <w:tcPr>
            <w:tcW w:w="1164" w:type="dxa"/>
            <w:vAlign w:val="center"/>
          </w:tcPr>
          <w:p w14:paraId="3018DF64">
            <w:pPr>
              <w:widowControl/>
              <w:spacing w:line="440" w:lineRule="exact"/>
              <w:ind w:firstLine="718" w:firstLineChars="342"/>
              <w:jc w:val="left"/>
              <w:rPr>
                <w:rFonts w:asciiTheme="minorEastAsia" w:hAnsiTheme="minorEastAsia" w:eastAsiaTheme="minorEastAsia" w:cstheme="minorEastAsia"/>
                <w:color w:val="auto"/>
                <w:kern w:val="0"/>
                <w:szCs w:val="21"/>
                <w:highlight w:val="none"/>
              </w:rPr>
            </w:pPr>
          </w:p>
        </w:tc>
      </w:tr>
      <w:tr w14:paraId="7DFD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3A91F388">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680" w:type="dxa"/>
            <w:vAlign w:val="center"/>
          </w:tcPr>
          <w:p w14:paraId="48A250FB">
            <w:pPr>
              <w:widowControl/>
              <w:spacing w:before="100" w:beforeAutospacing="1" w:after="100" w:afterAutospacing="1" w:line="440" w:lineRule="exact"/>
              <w:jc w:val="center"/>
              <w:rPr>
                <w:rFonts w:hint="eastAsia" w:asciiTheme="minorEastAsia" w:hAnsiTheme="minorEastAsia" w:eastAsiaTheme="minorEastAsia" w:cstheme="minorEastAsia"/>
                <w:color w:val="auto"/>
                <w:kern w:val="0"/>
                <w:szCs w:val="21"/>
                <w:highlight w:val="none"/>
                <w:lang w:eastAsia="zh-CN"/>
              </w:rPr>
            </w:pPr>
            <w:r>
              <w:rPr>
                <w:rFonts w:hint="eastAsia" w:eastAsiaTheme="minorEastAsia"/>
                <w:color w:val="auto"/>
                <w:highlight w:val="none"/>
                <w:lang w:eastAsia="zh-CN"/>
              </w:rPr>
              <w:t>供货时间/服务期限</w:t>
            </w:r>
          </w:p>
        </w:tc>
        <w:tc>
          <w:tcPr>
            <w:tcW w:w="1380" w:type="dxa"/>
            <w:vAlign w:val="center"/>
          </w:tcPr>
          <w:p w14:paraId="4DD36244">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vAlign w:val="center"/>
          </w:tcPr>
          <w:p w14:paraId="58CC0069">
            <w:pPr>
              <w:widowControl/>
              <w:topLinePunct/>
              <w:spacing w:after="120" w:line="400" w:lineRule="exact"/>
              <w:jc w:val="left"/>
              <w:rPr>
                <w:rFonts w:ascii="宋体" w:hAnsi="宋体" w:cs="宋体"/>
                <w:color w:val="auto"/>
                <w:szCs w:val="21"/>
                <w:highlight w:val="none"/>
              </w:rPr>
            </w:pPr>
          </w:p>
        </w:tc>
        <w:tc>
          <w:tcPr>
            <w:tcW w:w="1164" w:type="dxa"/>
            <w:vAlign w:val="center"/>
          </w:tcPr>
          <w:p w14:paraId="4CF95F6D">
            <w:pPr>
              <w:widowControl/>
              <w:spacing w:line="440" w:lineRule="exact"/>
              <w:jc w:val="left"/>
              <w:rPr>
                <w:rFonts w:asciiTheme="minorEastAsia" w:hAnsiTheme="minorEastAsia" w:eastAsiaTheme="minorEastAsia" w:cstheme="minorEastAsia"/>
                <w:color w:val="auto"/>
                <w:kern w:val="0"/>
                <w:szCs w:val="21"/>
                <w:highlight w:val="none"/>
              </w:rPr>
            </w:pPr>
          </w:p>
        </w:tc>
      </w:tr>
      <w:tr w14:paraId="7EF4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0E1C210E">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680" w:type="dxa"/>
            <w:vAlign w:val="center"/>
          </w:tcPr>
          <w:p w14:paraId="5050712B">
            <w:pPr>
              <w:widowControl/>
              <w:spacing w:before="100" w:beforeAutospacing="1" w:after="100" w:afterAutospacing="1" w:line="440" w:lineRule="exact"/>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供货</w:t>
            </w:r>
            <w:r>
              <w:rPr>
                <w:rFonts w:hint="eastAsia" w:asciiTheme="minorEastAsia" w:hAnsiTheme="minorEastAsia" w:eastAsiaTheme="minorEastAsia" w:cstheme="minorEastAsia"/>
                <w:color w:val="auto"/>
                <w:kern w:val="0"/>
                <w:szCs w:val="21"/>
                <w:highlight w:val="none"/>
                <w:lang w:eastAsia="zh-CN"/>
              </w:rPr>
              <w:t>地点</w:t>
            </w:r>
          </w:p>
        </w:tc>
        <w:tc>
          <w:tcPr>
            <w:tcW w:w="1380" w:type="dxa"/>
            <w:vAlign w:val="center"/>
          </w:tcPr>
          <w:p w14:paraId="0061D0E2">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vAlign w:val="center"/>
          </w:tcPr>
          <w:p w14:paraId="02CADD38">
            <w:pPr>
              <w:widowControl/>
              <w:topLinePunct/>
              <w:spacing w:after="120" w:line="400" w:lineRule="exact"/>
              <w:jc w:val="left"/>
              <w:rPr>
                <w:rFonts w:hint="eastAsia" w:ascii="宋体" w:hAnsi="宋体" w:eastAsia="宋体" w:cs="宋体"/>
                <w:color w:val="auto"/>
                <w:szCs w:val="21"/>
                <w:highlight w:val="none"/>
                <w:lang w:eastAsia="zh-CN"/>
              </w:rPr>
            </w:pPr>
          </w:p>
        </w:tc>
        <w:tc>
          <w:tcPr>
            <w:tcW w:w="1164" w:type="dxa"/>
            <w:vAlign w:val="center"/>
          </w:tcPr>
          <w:p w14:paraId="02664A19">
            <w:pPr>
              <w:widowControl/>
              <w:spacing w:line="440" w:lineRule="exact"/>
              <w:jc w:val="left"/>
              <w:rPr>
                <w:rFonts w:asciiTheme="minorEastAsia" w:hAnsiTheme="minorEastAsia" w:eastAsiaTheme="minorEastAsia" w:cstheme="minorEastAsia"/>
                <w:color w:val="auto"/>
                <w:kern w:val="0"/>
                <w:szCs w:val="21"/>
                <w:highlight w:val="none"/>
              </w:rPr>
            </w:pPr>
          </w:p>
        </w:tc>
      </w:tr>
      <w:tr w14:paraId="262F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4CBE55DD">
            <w:pPr>
              <w:widowControl/>
              <w:tabs>
                <w:tab w:val="left" w:pos="360"/>
              </w:tabs>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680" w:type="dxa"/>
            <w:vAlign w:val="center"/>
          </w:tcPr>
          <w:p w14:paraId="51DB58BE">
            <w:pPr>
              <w:widowControl/>
              <w:spacing w:before="100" w:beforeAutospacing="1" w:after="100" w:afterAutospacing="1" w:line="440" w:lineRule="exact"/>
              <w:jc w:val="center"/>
              <w:rPr>
                <w:rFonts w:asciiTheme="minorEastAsia" w:hAnsiTheme="minorEastAsia" w:eastAsiaTheme="minorEastAsia" w:cstheme="minorEastAsia"/>
                <w:color w:val="auto"/>
                <w:kern w:val="0"/>
                <w:szCs w:val="21"/>
                <w:highlight w:val="none"/>
              </w:rPr>
            </w:pPr>
            <w:r>
              <w:rPr>
                <w:rFonts w:hint="eastAsia" w:ascii="Calibri" w:hAnsi="Calibri" w:cs="Arial"/>
                <w:color w:val="auto"/>
                <w:kern w:val="0"/>
                <w:szCs w:val="21"/>
                <w:highlight w:val="none"/>
              </w:rPr>
              <w:t>质量标准</w:t>
            </w:r>
          </w:p>
        </w:tc>
        <w:tc>
          <w:tcPr>
            <w:tcW w:w="1380" w:type="dxa"/>
            <w:vAlign w:val="center"/>
          </w:tcPr>
          <w:p w14:paraId="66B1C217">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vAlign w:val="center"/>
          </w:tcPr>
          <w:p w14:paraId="38BF7E04">
            <w:pPr>
              <w:widowControl/>
              <w:topLinePunct/>
              <w:spacing w:after="120" w:line="400" w:lineRule="exact"/>
              <w:jc w:val="left"/>
              <w:rPr>
                <w:rFonts w:ascii="宋体" w:hAnsi="宋体" w:cs="宋体"/>
                <w:color w:val="auto"/>
                <w:szCs w:val="21"/>
                <w:highlight w:val="none"/>
              </w:rPr>
            </w:pPr>
          </w:p>
        </w:tc>
        <w:tc>
          <w:tcPr>
            <w:tcW w:w="1164" w:type="dxa"/>
            <w:vAlign w:val="center"/>
          </w:tcPr>
          <w:p w14:paraId="0E1EAF5E">
            <w:pPr>
              <w:widowControl/>
              <w:tabs>
                <w:tab w:val="left" w:pos="360"/>
              </w:tabs>
              <w:jc w:val="center"/>
              <w:rPr>
                <w:rFonts w:asciiTheme="minorEastAsia" w:hAnsiTheme="minorEastAsia" w:eastAsiaTheme="minorEastAsia" w:cstheme="minorEastAsia"/>
                <w:color w:val="auto"/>
                <w:kern w:val="0"/>
                <w:szCs w:val="21"/>
                <w:highlight w:val="none"/>
              </w:rPr>
            </w:pPr>
          </w:p>
        </w:tc>
      </w:tr>
      <w:tr w14:paraId="018E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42F6A41C">
            <w:pPr>
              <w:widowControl/>
              <w:tabs>
                <w:tab w:val="left" w:pos="360"/>
              </w:tabs>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680" w:type="dxa"/>
            <w:vAlign w:val="center"/>
          </w:tcPr>
          <w:p w14:paraId="06314F6F">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1380" w:type="dxa"/>
            <w:vAlign w:val="center"/>
          </w:tcPr>
          <w:p w14:paraId="02A8D218">
            <w:pPr>
              <w:widowControl/>
              <w:spacing w:line="44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vAlign w:val="center"/>
          </w:tcPr>
          <w:p w14:paraId="105A3531">
            <w:pPr>
              <w:widowControl/>
              <w:topLinePunct/>
              <w:spacing w:after="120" w:line="400" w:lineRule="exact"/>
              <w:jc w:val="left"/>
              <w:rPr>
                <w:rFonts w:hint="eastAsia" w:eastAsia="宋体" w:asciiTheme="minorEastAsia" w:hAnsiTheme="minorEastAsia" w:cstheme="minorEastAsia"/>
                <w:color w:val="auto"/>
                <w:kern w:val="0"/>
                <w:szCs w:val="21"/>
                <w:highlight w:val="none"/>
                <w:lang w:eastAsia="zh-CN"/>
              </w:rPr>
            </w:pPr>
          </w:p>
        </w:tc>
        <w:tc>
          <w:tcPr>
            <w:tcW w:w="1164" w:type="dxa"/>
            <w:vAlign w:val="center"/>
          </w:tcPr>
          <w:p w14:paraId="47FD80C3">
            <w:pPr>
              <w:widowControl/>
              <w:tabs>
                <w:tab w:val="left" w:pos="360"/>
              </w:tabs>
              <w:jc w:val="center"/>
              <w:rPr>
                <w:rFonts w:asciiTheme="minorEastAsia" w:hAnsiTheme="minorEastAsia" w:eastAsiaTheme="minorEastAsia" w:cstheme="minorEastAsia"/>
                <w:color w:val="auto"/>
                <w:kern w:val="0"/>
                <w:szCs w:val="21"/>
                <w:highlight w:val="none"/>
              </w:rPr>
            </w:pPr>
          </w:p>
        </w:tc>
      </w:tr>
      <w:tr w14:paraId="606D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65F4045">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680" w:type="dxa"/>
          </w:tcPr>
          <w:p w14:paraId="40DC4867">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380" w:type="dxa"/>
          </w:tcPr>
          <w:p w14:paraId="2707EF0E">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491" w:type="dxa"/>
          </w:tcPr>
          <w:p w14:paraId="6975630E">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164" w:type="dxa"/>
            <w:vAlign w:val="center"/>
          </w:tcPr>
          <w:p w14:paraId="7D1F1A03">
            <w:pPr>
              <w:widowControl/>
              <w:spacing w:line="440" w:lineRule="exact"/>
              <w:ind w:firstLine="718" w:firstLineChars="342"/>
              <w:jc w:val="left"/>
              <w:rPr>
                <w:rFonts w:asciiTheme="minorEastAsia" w:hAnsiTheme="minorEastAsia" w:eastAsiaTheme="minorEastAsia" w:cstheme="minorEastAsia"/>
                <w:color w:val="auto"/>
                <w:kern w:val="0"/>
                <w:szCs w:val="21"/>
                <w:highlight w:val="none"/>
              </w:rPr>
            </w:pPr>
          </w:p>
        </w:tc>
      </w:tr>
    </w:tbl>
    <w:p w14:paraId="085BB783">
      <w:pPr>
        <w:widowControl/>
        <w:spacing w:line="440" w:lineRule="exact"/>
        <w:ind w:firstLine="2520" w:firstLineChars="1200"/>
        <w:jc w:val="left"/>
        <w:rPr>
          <w:rFonts w:asciiTheme="minorEastAsia" w:hAnsiTheme="minorEastAsia" w:eastAsiaTheme="minorEastAsia" w:cstheme="minorEastAsia"/>
          <w:color w:val="auto"/>
          <w:kern w:val="0"/>
          <w:szCs w:val="21"/>
          <w:highlight w:val="none"/>
        </w:rPr>
      </w:pPr>
    </w:p>
    <w:p w14:paraId="4CA24C43">
      <w:pPr>
        <w:widowControl/>
        <w:spacing w:line="440" w:lineRule="exact"/>
        <w:ind w:firstLine="2520" w:firstLineChars="1200"/>
        <w:jc w:val="righ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 标 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ab/>
      </w:r>
      <w:r>
        <w:rPr>
          <w:rFonts w:hint="eastAsia" w:asciiTheme="minorEastAsia" w:hAnsiTheme="minorEastAsia" w:eastAsiaTheme="minorEastAsia" w:cstheme="minorEastAsia"/>
          <w:color w:val="auto"/>
          <w:kern w:val="0"/>
          <w:szCs w:val="21"/>
          <w:highlight w:val="none"/>
        </w:rPr>
        <w:t>（</w:t>
      </w:r>
      <w:r>
        <w:rPr>
          <w:rFonts w:hint="eastAsia" w:ascii="宋体" w:hAnsi="宋体"/>
          <w:color w:val="auto"/>
          <w:szCs w:val="21"/>
          <w:highlight w:val="none"/>
        </w:rPr>
        <w:t>单位公章</w:t>
      </w:r>
      <w:r>
        <w:rPr>
          <w:rFonts w:hint="eastAsia" w:asciiTheme="minorEastAsia" w:hAnsiTheme="minorEastAsia" w:eastAsiaTheme="minorEastAsia" w:cstheme="minorEastAsia"/>
          <w:color w:val="auto"/>
          <w:kern w:val="0"/>
          <w:szCs w:val="21"/>
          <w:highlight w:val="none"/>
        </w:rPr>
        <w:t>）</w:t>
      </w:r>
    </w:p>
    <w:p w14:paraId="7F13AA09">
      <w:pPr>
        <w:widowControl/>
        <w:spacing w:line="440" w:lineRule="exact"/>
        <w:jc w:val="righ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法定代表人或其委托代理人：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   </w:t>
      </w:r>
      <w:r>
        <w:rPr>
          <w:color w:val="auto"/>
          <w:highlight w:val="none"/>
        </w:rPr>
        <w:t>（</w:t>
      </w:r>
      <w:r>
        <w:rPr>
          <w:rFonts w:hint="eastAsia"/>
          <w:color w:val="auto"/>
          <w:highlight w:val="none"/>
        </w:rPr>
        <w:t>签字或盖章</w:t>
      </w:r>
      <w:r>
        <w:rPr>
          <w:color w:val="auto"/>
          <w:highlight w:val="none"/>
        </w:rPr>
        <w:t>）</w:t>
      </w:r>
    </w:p>
    <w:p w14:paraId="5C710AC7">
      <w:pPr>
        <w:widowControl/>
        <w:spacing w:line="440" w:lineRule="exact"/>
        <w:ind w:firstLine="4725" w:firstLineChars="2250"/>
        <w:jc w:val="righ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w:t>
      </w:r>
    </w:p>
    <w:p w14:paraId="51248E7F">
      <w:pPr>
        <w:widowControl/>
        <w:jc w:val="left"/>
        <w:rPr>
          <w:rFonts w:ascii="Calibri" w:hAnsi="Calibri" w:cs="Arial"/>
          <w:color w:val="auto"/>
          <w:kern w:val="0"/>
          <w:sz w:val="24"/>
          <w:szCs w:val="24"/>
          <w:highlight w:val="none"/>
        </w:rPr>
      </w:pPr>
    </w:p>
    <w:p w14:paraId="42BC587C">
      <w:pPr>
        <w:spacing w:before="272" w:beforeLines="100" w:after="136" w:afterLines="50"/>
        <w:jc w:val="center"/>
        <w:rPr>
          <w:rFonts w:eastAsia="黑体"/>
          <w:color w:val="auto"/>
          <w:sz w:val="28"/>
          <w:szCs w:val="28"/>
          <w:highlight w:val="none"/>
        </w:rPr>
      </w:pPr>
    </w:p>
    <w:p w14:paraId="4C41C16F">
      <w:pPr>
        <w:spacing w:before="272" w:beforeLines="100" w:after="136" w:afterLines="50"/>
        <w:jc w:val="center"/>
        <w:rPr>
          <w:rFonts w:eastAsia="黑体"/>
          <w:color w:val="auto"/>
          <w:sz w:val="28"/>
          <w:szCs w:val="28"/>
          <w:highlight w:val="none"/>
        </w:rPr>
      </w:pPr>
    </w:p>
    <w:p w14:paraId="6A8CDDE8">
      <w:pPr>
        <w:rPr>
          <w:rFonts w:eastAsia="黑体"/>
          <w:color w:val="auto"/>
          <w:sz w:val="28"/>
          <w:szCs w:val="28"/>
          <w:highlight w:val="none"/>
        </w:rPr>
      </w:pPr>
    </w:p>
    <w:p w14:paraId="274D776B">
      <w:pPr>
        <w:rPr>
          <w:rFonts w:eastAsia="黑体"/>
          <w:color w:val="auto"/>
          <w:sz w:val="28"/>
          <w:szCs w:val="28"/>
          <w:highlight w:val="none"/>
        </w:rPr>
      </w:pPr>
      <w:r>
        <w:rPr>
          <w:rFonts w:eastAsia="黑体"/>
          <w:color w:val="auto"/>
          <w:sz w:val="28"/>
          <w:szCs w:val="28"/>
          <w:highlight w:val="none"/>
        </w:rPr>
        <w:br w:type="page"/>
      </w:r>
    </w:p>
    <w:p w14:paraId="2B426081">
      <w:pPr>
        <w:spacing w:before="272" w:beforeLines="100" w:after="136" w:afterLines="50"/>
        <w:jc w:val="center"/>
        <w:rPr>
          <w:rFonts w:eastAsia="黑体"/>
          <w:color w:val="auto"/>
          <w:sz w:val="28"/>
          <w:szCs w:val="28"/>
          <w:highlight w:val="none"/>
        </w:rPr>
      </w:pPr>
      <w:r>
        <w:rPr>
          <w:rFonts w:eastAsia="黑体"/>
          <w:color w:val="auto"/>
          <w:sz w:val="28"/>
          <w:szCs w:val="28"/>
          <w:highlight w:val="none"/>
        </w:rPr>
        <w:t>二、法定代表人身份证明</w:t>
      </w:r>
    </w:p>
    <w:p w14:paraId="79630720">
      <w:pPr>
        <w:spacing w:line="480" w:lineRule="auto"/>
        <w:rPr>
          <w:rFonts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361EBF2E">
      <w:pPr>
        <w:spacing w:line="480" w:lineRule="auto"/>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784B558A">
      <w:pPr>
        <w:spacing w:line="480" w:lineRule="auto"/>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（投标人名称）的法定代表人（单位负责人）。</w:t>
      </w:r>
    </w:p>
    <w:p w14:paraId="71BD6A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EED7FE8">
      <w:pPr>
        <w:spacing w:line="420" w:lineRule="exact"/>
        <w:rPr>
          <w:rFonts w:ascii="宋体" w:hAnsi="宋体"/>
          <w:color w:val="auto"/>
          <w:szCs w:val="21"/>
          <w:highlight w:val="none"/>
        </w:rPr>
      </w:pPr>
    </w:p>
    <w:p w14:paraId="28033144">
      <w:pPr>
        <w:spacing w:line="420" w:lineRule="exact"/>
        <w:rPr>
          <w:rFonts w:ascii="宋体" w:hAnsi="宋体"/>
          <w:color w:val="auto"/>
          <w:szCs w:val="21"/>
          <w:highlight w:val="none"/>
        </w:rPr>
      </w:pPr>
    </w:p>
    <w:p w14:paraId="6E3232DC">
      <w:pPr>
        <w:spacing w:line="420" w:lineRule="exact"/>
        <w:rPr>
          <w:rFonts w:ascii="宋体" w:hAnsi="宋体"/>
          <w:color w:val="auto"/>
          <w:szCs w:val="21"/>
          <w:highlight w:val="none"/>
        </w:rPr>
      </w:pPr>
      <w:r>
        <w:rPr>
          <w:rFonts w:hint="eastAsia" w:ascii="宋体" w:hAnsi="宋体"/>
          <w:color w:val="auto"/>
          <w:szCs w:val="21"/>
          <w:highlight w:val="none"/>
        </w:rPr>
        <w:t>附：法定代表人（单位负责人）身份证复印件。</w:t>
      </w:r>
    </w:p>
    <w:p w14:paraId="0AA0DB9D">
      <w:pPr>
        <w:spacing w:line="420" w:lineRule="exact"/>
        <w:rPr>
          <w:rFonts w:ascii="宋体" w:hAnsi="宋体"/>
          <w:color w:val="auto"/>
          <w:szCs w:val="21"/>
          <w:highlight w:val="none"/>
        </w:rPr>
      </w:pPr>
      <w:r>
        <w:rPr>
          <w:rFonts w:hint="eastAsia" w:ascii="宋体" w:hAnsi="宋体"/>
          <w:color w:val="auto"/>
          <w:szCs w:val="21"/>
          <w:highlight w:val="none"/>
        </w:rPr>
        <w:t>注：本身份证明需由投标人加盖单位公章。</w:t>
      </w:r>
    </w:p>
    <w:p w14:paraId="5A86016B">
      <w:pPr>
        <w:spacing w:line="420" w:lineRule="exact"/>
        <w:rPr>
          <w:rFonts w:ascii="宋体" w:hAnsi="宋体"/>
          <w:color w:val="auto"/>
          <w:szCs w:val="21"/>
          <w:highlight w:val="none"/>
        </w:rPr>
      </w:pPr>
    </w:p>
    <w:p w14:paraId="5918DB40">
      <w:pPr>
        <w:spacing w:line="420" w:lineRule="exact"/>
        <w:rPr>
          <w:rFonts w:ascii="宋体" w:hAnsi="宋体"/>
          <w:color w:val="auto"/>
          <w:szCs w:val="21"/>
          <w:highlight w:val="none"/>
        </w:rPr>
      </w:pPr>
    </w:p>
    <w:p w14:paraId="055AD035">
      <w:pPr>
        <w:spacing w:line="420" w:lineRule="exact"/>
        <w:rPr>
          <w:rFonts w:ascii="宋体" w:hAnsi="宋体"/>
          <w:color w:val="auto"/>
          <w:szCs w:val="21"/>
          <w:highlight w:val="none"/>
        </w:rPr>
      </w:pPr>
    </w:p>
    <w:p w14:paraId="79A3058F">
      <w:pPr>
        <w:spacing w:line="420" w:lineRule="exact"/>
        <w:rPr>
          <w:rFonts w:ascii="宋体" w:hAnsi="宋体"/>
          <w:color w:val="auto"/>
          <w:szCs w:val="21"/>
          <w:highlight w:val="none"/>
        </w:rPr>
      </w:pPr>
    </w:p>
    <w:p w14:paraId="3D180396">
      <w:pPr>
        <w:spacing w:line="420" w:lineRule="exact"/>
        <w:rPr>
          <w:rFonts w:ascii="宋体" w:hAnsi="宋体"/>
          <w:color w:val="auto"/>
          <w:szCs w:val="21"/>
          <w:highlight w:val="none"/>
        </w:rPr>
      </w:pPr>
    </w:p>
    <w:p w14:paraId="05DE866D">
      <w:pPr>
        <w:spacing w:line="480" w:lineRule="auto"/>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14:paraId="79E54A2E">
      <w:pPr>
        <w:spacing w:line="480" w:lineRule="auto"/>
        <w:jc w:val="right"/>
        <w:rPr>
          <w:rFonts w:ascii="Calibri" w:hAnsi="Calibri"/>
          <w:color w:val="auto"/>
          <w:szCs w:val="22"/>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34E7FAB">
      <w:pPr>
        <w:rPr>
          <w:rFonts w:ascii="Calibri" w:hAnsi="Calibri"/>
          <w:color w:val="auto"/>
          <w:szCs w:val="22"/>
          <w:highlight w:val="none"/>
        </w:rPr>
      </w:pPr>
    </w:p>
    <w:p w14:paraId="339A9041">
      <w:pPr>
        <w:rPr>
          <w:rFonts w:ascii="Calibri" w:hAnsi="Calibri"/>
          <w:color w:val="auto"/>
          <w:szCs w:val="22"/>
          <w:highlight w:val="none"/>
        </w:rPr>
      </w:pPr>
    </w:p>
    <w:p w14:paraId="19B1B22C">
      <w:pPr>
        <w:rPr>
          <w:rFonts w:ascii="Calibri" w:hAnsi="Calibri"/>
          <w:color w:val="auto"/>
          <w:szCs w:val="22"/>
          <w:highlight w:val="none"/>
        </w:rPr>
      </w:pPr>
    </w:p>
    <w:p w14:paraId="30843B5C">
      <w:pPr>
        <w:rPr>
          <w:rFonts w:ascii="Calibri" w:hAnsi="Calibri"/>
          <w:color w:val="auto"/>
          <w:szCs w:val="22"/>
          <w:highlight w:val="none"/>
        </w:rPr>
      </w:pPr>
    </w:p>
    <w:p w14:paraId="70EDF219">
      <w:pPr>
        <w:rPr>
          <w:rFonts w:ascii="Calibri" w:hAnsi="Calibri"/>
          <w:color w:val="auto"/>
          <w:szCs w:val="22"/>
          <w:highlight w:val="none"/>
        </w:rPr>
      </w:pPr>
    </w:p>
    <w:p w14:paraId="28468217">
      <w:pPr>
        <w:adjustRightInd w:val="0"/>
        <w:snapToGrid w:val="0"/>
        <w:spacing w:line="360" w:lineRule="auto"/>
        <w:ind w:firstLine="723" w:firstLineChars="343"/>
        <w:rPr>
          <w:rFonts w:ascii="宋体" w:hAnsi="宋体"/>
          <w:b/>
          <w:color w:val="auto"/>
          <w:szCs w:val="21"/>
          <w:highlight w:val="none"/>
        </w:rPr>
      </w:pPr>
      <w:r>
        <w:rPr>
          <w:rFonts w:ascii="宋体" w:hAnsi="宋体"/>
          <w:b/>
          <w:color w:val="auto"/>
          <w:szCs w:val="21"/>
          <w:highlight w:val="none"/>
        </w:rPr>
        <w:t>＊注：必须按要求提交上述附件材料，否则此法定代表人身份证明无效。</w:t>
      </w:r>
    </w:p>
    <w:p w14:paraId="2DA70D28">
      <w:pPr>
        <w:spacing w:line="500" w:lineRule="exact"/>
        <w:jc w:val="right"/>
        <w:rPr>
          <w:color w:val="auto"/>
          <w:szCs w:val="21"/>
          <w:highlight w:val="none"/>
        </w:rPr>
      </w:pPr>
    </w:p>
    <w:p w14:paraId="40FB8EB6">
      <w:pPr>
        <w:spacing w:line="500" w:lineRule="exact"/>
        <w:jc w:val="right"/>
        <w:rPr>
          <w:color w:val="auto"/>
          <w:szCs w:val="21"/>
          <w:highlight w:val="none"/>
        </w:rPr>
      </w:pPr>
    </w:p>
    <w:p w14:paraId="12F95C80">
      <w:pPr>
        <w:spacing w:line="500" w:lineRule="exact"/>
        <w:jc w:val="right"/>
        <w:rPr>
          <w:color w:val="auto"/>
          <w:szCs w:val="21"/>
          <w:highlight w:val="none"/>
        </w:rPr>
      </w:pPr>
    </w:p>
    <w:p w14:paraId="3D9D1CC3">
      <w:pPr>
        <w:spacing w:line="500" w:lineRule="exact"/>
        <w:ind w:right="840"/>
        <w:rPr>
          <w:color w:val="auto"/>
          <w:szCs w:val="21"/>
          <w:highlight w:val="none"/>
        </w:rPr>
      </w:pPr>
    </w:p>
    <w:p w14:paraId="3BEF6170">
      <w:pPr>
        <w:spacing w:line="500" w:lineRule="exact"/>
        <w:jc w:val="right"/>
        <w:rPr>
          <w:color w:val="auto"/>
          <w:szCs w:val="21"/>
          <w:highlight w:val="none"/>
        </w:rPr>
      </w:pPr>
    </w:p>
    <w:p w14:paraId="23567CA9">
      <w:pPr>
        <w:widowControl/>
        <w:spacing w:after="272" w:afterLines="100"/>
        <w:jc w:val="center"/>
        <w:rPr>
          <w:b/>
          <w:bCs/>
          <w:color w:val="auto"/>
          <w:kern w:val="0"/>
          <w:sz w:val="44"/>
          <w:szCs w:val="44"/>
          <w:highlight w:val="none"/>
        </w:rPr>
      </w:pPr>
      <w:r>
        <w:rPr>
          <w:color w:val="auto"/>
          <w:szCs w:val="21"/>
          <w:highlight w:val="none"/>
        </w:rPr>
        <w:br w:type="page"/>
      </w:r>
      <w:r>
        <w:rPr>
          <w:rFonts w:eastAsia="黑体"/>
          <w:color w:val="auto"/>
          <w:sz w:val="28"/>
          <w:szCs w:val="28"/>
          <w:highlight w:val="none"/>
        </w:rPr>
        <w:t>三、法定代表人授权委托书</w:t>
      </w:r>
    </w:p>
    <w:p w14:paraId="1461F7D8">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投标人名称）的法定代表人（单位负责人），现委托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（姓名）为我方代理人。代理人根据授权，以我方名义签署、澄清确认、递交、撤回、修改</w:t>
      </w:r>
      <w:r>
        <w:rPr>
          <w:rFonts w:hint="eastAsia" w:ascii="宋体" w:hAnsi="宋体"/>
          <w:color w:val="auto"/>
          <w:szCs w:val="21"/>
          <w:highlight w:val="none"/>
          <w:lang w:val="en-US" w:eastAsia="zh-CN"/>
        </w:rPr>
        <w:t>本</w:t>
      </w:r>
      <w:r>
        <w:rPr>
          <w:rFonts w:hint="eastAsia" w:ascii="宋体" w:hAnsi="宋体"/>
          <w:color w:val="auto"/>
          <w:szCs w:val="21"/>
          <w:highlight w:val="none"/>
        </w:rPr>
        <w:t>招标项目投标文件。签订合同和处理有关事宜，其法律后果由我方承担。</w:t>
      </w:r>
    </w:p>
    <w:p w14:paraId="6846556C">
      <w:pPr>
        <w:spacing w:line="480" w:lineRule="auto"/>
        <w:rPr>
          <w:rFonts w:ascii="宋体" w:hAnsi="宋体"/>
          <w:color w:val="auto"/>
          <w:szCs w:val="21"/>
          <w:highlight w:val="none"/>
          <w:u w:val="singl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DC576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2495319B">
      <w:pPr>
        <w:spacing w:line="420" w:lineRule="exact"/>
        <w:rPr>
          <w:rFonts w:ascii="宋体" w:hAnsi="宋体"/>
          <w:color w:val="auto"/>
          <w:szCs w:val="21"/>
          <w:highlight w:val="none"/>
          <w:u w:val="single"/>
        </w:rPr>
      </w:pPr>
    </w:p>
    <w:p w14:paraId="5992F323">
      <w:pPr>
        <w:spacing w:line="420" w:lineRule="exact"/>
        <w:rPr>
          <w:rFonts w:ascii="宋体" w:hAnsi="宋体"/>
          <w:color w:val="auto"/>
          <w:szCs w:val="21"/>
          <w:highlight w:val="none"/>
          <w:u w:val="single"/>
        </w:rPr>
      </w:pPr>
    </w:p>
    <w:p w14:paraId="780B3EA9">
      <w:pPr>
        <w:spacing w:line="420" w:lineRule="exact"/>
        <w:rPr>
          <w:rFonts w:ascii="宋体" w:hAnsi="宋体"/>
          <w:color w:val="auto"/>
          <w:szCs w:val="21"/>
          <w:highlight w:val="none"/>
        </w:rPr>
      </w:pPr>
      <w:r>
        <w:rPr>
          <w:rFonts w:hint="eastAsia" w:ascii="宋体" w:hAnsi="宋体"/>
          <w:color w:val="auto"/>
          <w:szCs w:val="21"/>
          <w:highlight w:val="none"/>
        </w:rPr>
        <w:t>附：法定代表人（单位负责人）身份证复印件及委托代理人身份证复印件</w:t>
      </w:r>
    </w:p>
    <w:p w14:paraId="1DB6346D">
      <w:pPr>
        <w:spacing w:line="420" w:lineRule="exact"/>
        <w:rPr>
          <w:rFonts w:ascii="宋体" w:hAnsi="宋体"/>
          <w:color w:val="auto"/>
          <w:szCs w:val="21"/>
          <w:highlight w:val="none"/>
        </w:rPr>
      </w:pPr>
      <w:r>
        <w:rPr>
          <w:rFonts w:hint="eastAsia" w:ascii="宋体" w:hAnsi="宋体"/>
          <w:color w:val="auto"/>
          <w:szCs w:val="21"/>
          <w:highlight w:val="none"/>
        </w:rPr>
        <w:t>注：本授权委托书需由投标人加盖单位公章并由其法定代表人（单位负责人）和委托代理人签字。</w:t>
      </w:r>
    </w:p>
    <w:p w14:paraId="067F72EA">
      <w:pPr>
        <w:spacing w:line="420" w:lineRule="exact"/>
        <w:rPr>
          <w:rFonts w:ascii="宋体" w:hAnsi="宋体"/>
          <w:color w:val="auto"/>
          <w:szCs w:val="21"/>
          <w:highlight w:val="none"/>
        </w:rPr>
      </w:pPr>
    </w:p>
    <w:p w14:paraId="5F0E02D8">
      <w:pPr>
        <w:spacing w:line="420" w:lineRule="exact"/>
        <w:rPr>
          <w:rFonts w:ascii="宋体" w:hAnsi="宋体"/>
          <w:color w:val="auto"/>
          <w:szCs w:val="21"/>
          <w:highlight w:val="none"/>
        </w:rPr>
      </w:pPr>
    </w:p>
    <w:p w14:paraId="7F6E0D47">
      <w:pPr>
        <w:spacing w:line="420" w:lineRule="exact"/>
        <w:rPr>
          <w:rFonts w:ascii="宋体" w:hAnsi="宋体"/>
          <w:color w:val="auto"/>
          <w:szCs w:val="21"/>
          <w:highlight w:val="none"/>
        </w:rPr>
      </w:pPr>
    </w:p>
    <w:p w14:paraId="7EECA1D0">
      <w:pPr>
        <w:spacing w:line="420" w:lineRule="exact"/>
        <w:rPr>
          <w:rFonts w:ascii="宋体" w:hAnsi="宋体"/>
          <w:color w:val="auto"/>
          <w:szCs w:val="21"/>
          <w:highlight w:val="none"/>
        </w:rPr>
      </w:pPr>
    </w:p>
    <w:p w14:paraId="05F481CC">
      <w:pPr>
        <w:spacing w:line="420" w:lineRule="exact"/>
        <w:rPr>
          <w:rFonts w:ascii="宋体" w:hAnsi="宋体"/>
          <w:color w:val="auto"/>
          <w:szCs w:val="21"/>
          <w:highlight w:val="none"/>
        </w:rPr>
      </w:pPr>
    </w:p>
    <w:p w14:paraId="642933D2">
      <w:pPr>
        <w:spacing w:line="480" w:lineRule="auto"/>
        <w:jc w:val="right"/>
        <w:rPr>
          <w:rFonts w:ascii="Calibri" w:hAnsi="Calibri"/>
          <w:color w:val="auto"/>
          <w:szCs w:val="22"/>
          <w:highlight w:val="none"/>
        </w:rPr>
      </w:pPr>
      <w:r>
        <w:rPr>
          <w:rFonts w:hint="eastAsia" w:ascii="Calibri" w:hAnsi="Calibri"/>
          <w:color w:val="auto"/>
          <w:szCs w:val="22"/>
          <w:highlight w:val="none"/>
        </w:rPr>
        <w:t>投标人</w:t>
      </w:r>
      <w:r>
        <w:rPr>
          <w:rFonts w:ascii="Calibri" w:hAnsi="Calibri"/>
          <w:color w:val="auto"/>
          <w:szCs w:val="22"/>
          <w:highlight w:val="none"/>
        </w:rPr>
        <w:t>：</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hint="eastAsia" w:ascii="Calibri" w:hAnsi="Calibri"/>
          <w:color w:val="auto"/>
          <w:szCs w:val="22"/>
          <w:highlight w:val="none"/>
        </w:rPr>
        <w:t>（单位</w:t>
      </w:r>
      <w:r>
        <w:rPr>
          <w:rFonts w:ascii="Calibri" w:hAnsi="Calibri"/>
          <w:color w:val="auto"/>
          <w:szCs w:val="22"/>
          <w:highlight w:val="none"/>
        </w:rPr>
        <w:t>公章</w:t>
      </w:r>
      <w:r>
        <w:rPr>
          <w:rFonts w:hint="eastAsia" w:ascii="Calibri" w:hAnsi="Calibri"/>
          <w:color w:val="auto"/>
          <w:szCs w:val="22"/>
          <w:highlight w:val="none"/>
        </w:rPr>
        <w:t>）</w:t>
      </w:r>
    </w:p>
    <w:p w14:paraId="59F62E48">
      <w:pPr>
        <w:spacing w:line="480" w:lineRule="auto"/>
        <w:jc w:val="right"/>
        <w:rPr>
          <w:rFonts w:ascii="Calibri" w:hAnsi="Calibri"/>
          <w:color w:val="auto"/>
          <w:szCs w:val="22"/>
          <w:highlight w:val="none"/>
        </w:rPr>
      </w:pPr>
      <w:r>
        <w:rPr>
          <w:rFonts w:hint="eastAsia" w:ascii="Calibri" w:hAnsi="Calibri"/>
          <w:color w:val="auto"/>
          <w:szCs w:val="22"/>
          <w:highlight w:val="none"/>
        </w:rPr>
        <w:t>法定代表人</w:t>
      </w:r>
      <w:r>
        <w:rPr>
          <w:rFonts w:ascii="Calibri" w:hAnsi="Calibri"/>
          <w:color w:val="auto"/>
          <w:szCs w:val="22"/>
          <w:highlight w:val="none"/>
        </w:rPr>
        <w:t>（</w:t>
      </w:r>
      <w:r>
        <w:rPr>
          <w:rFonts w:hint="eastAsia" w:ascii="Calibri" w:hAnsi="Calibri"/>
          <w:color w:val="auto"/>
          <w:szCs w:val="22"/>
          <w:highlight w:val="none"/>
        </w:rPr>
        <w:t>单位负责人</w:t>
      </w:r>
      <w:r>
        <w:rPr>
          <w:rFonts w:ascii="Calibri" w:hAnsi="Calibri"/>
          <w:color w:val="auto"/>
          <w:szCs w:val="22"/>
          <w:highlight w:val="none"/>
        </w:rPr>
        <w:t>）</w:t>
      </w:r>
      <w:r>
        <w:rPr>
          <w:rFonts w:hint="eastAsia" w:ascii="Calibri" w:hAnsi="Calibri"/>
          <w:color w:val="auto"/>
          <w:szCs w:val="22"/>
          <w:highlight w:val="none"/>
        </w:rPr>
        <w:t>：</w:t>
      </w:r>
      <w:r>
        <w:rPr>
          <w:rFonts w:hint="eastAsia" w:ascii="Calibri" w:hAnsi="Calibri"/>
          <w:color w:val="auto"/>
          <w:szCs w:val="22"/>
          <w:highlight w:val="none"/>
          <w:u w:val="single"/>
        </w:rPr>
        <w:t xml:space="preserve">                      </w:t>
      </w:r>
      <w:r>
        <w:rPr>
          <w:color w:val="auto"/>
          <w:highlight w:val="none"/>
        </w:rPr>
        <w:t>（</w:t>
      </w:r>
      <w:r>
        <w:rPr>
          <w:rFonts w:hint="eastAsia"/>
          <w:color w:val="auto"/>
          <w:highlight w:val="none"/>
        </w:rPr>
        <w:t>签字或盖章</w:t>
      </w:r>
      <w:r>
        <w:rPr>
          <w:color w:val="auto"/>
          <w:highlight w:val="none"/>
        </w:rPr>
        <w:t>）</w:t>
      </w:r>
    </w:p>
    <w:p w14:paraId="093A8E3C">
      <w:pPr>
        <w:spacing w:line="480" w:lineRule="auto"/>
        <w:ind w:left="2940" w:leftChars="1400"/>
        <w:rPr>
          <w:rFonts w:ascii="Calibri" w:hAnsi="Calibri"/>
          <w:color w:val="auto"/>
          <w:szCs w:val="22"/>
          <w:highlight w:val="none"/>
        </w:rPr>
      </w:pPr>
      <w:r>
        <w:rPr>
          <w:rFonts w:hint="eastAsia" w:ascii="Calibri" w:hAnsi="Calibri"/>
          <w:color w:val="auto"/>
          <w:szCs w:val="22"/>
          <w:highlight w:val="none"/>
        </w:rPr>
        <w:t>身份证</w:t>
      </w:r>
      <w:r>
        <w:rPr>
          <w:rFonts w:ascii="Calibri" w:hAnsi="Calibri"/>
          <w:color w:val="auto"/>
          <w:szCs w:val="22"/>
          <w:highlight w:val="none"/>
        </w:rPr>
        <w:t>号码：</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p>
    <w:p w14:paraId="3A7741B2">
      <w:pPr>
        <w:spacing w:line="480" w:lineRule="auto"/>
        <w:jc w:val="right"/>
        <w:rPr>
          <w:rFonts w:ascii="Calibri" w:hAnsi="Calibri"/>
          <w:color w:val="auto"/>
          <w:szCs w:val="22"/>
          <w:highlight w:val="none"/>
        </w:rPr>
      </w:pPr>
      <w:r>
        <w:rPr>
          <w:rFonts w:hint="eastAsia" w:ascii="Calibri" w:hAnsi="Calibri"/>
          <w:color w:val="auto"/>
          <w:szCs w:val="22"/>
          <w:highlight w:val="none"/>
        </w:rPr>
        <w:t>委托</w:t>
      </w:r>
      <w:r>
        <w:rPr>
          <w:rFonts w:ascii="Calibri" w:hAnsi="Calibri"/>
          <w:color w:val="auto"/>
          <w:szCs w:val="22"/>
          <w:highlight w:val="none"/>
        </w:rPr>
        <w:t>代理人：</w:t>
      </w:r>
      <w:r>
        <w:rPr>
          <w:rFonts w:hint="eastAsia" w:ascii="Calibri" w:hAnsi="Calibri"/>
          <w:color w:val="auto"/>
          <w:szCs w:val="22"/>
          <w:highlight w:val="none"/>
          <w:u w:val="single"/>
        </w:rPr>
        <w:t xml:space="preserve">                                    </w:t>
      </w:r>
      <w:r>
        <w:rPr>
          <w:color w:val="auto"/>
          <w:highlight w:val="none"/>
        </w:rPr>
        <w:t>（</w:t>
      </w:r>
      <w:r>
        <w:rPr>
          <w:rFonts w:hint="eastAsia"/>
          <w:color w:val="auto"/>
          <w:highlight w:val="none"/>
        </w:rPr>
        <w:t>签字或盖章</w:t>
      </w:r>
      <w:r>
        <w:rPr>
          <w:color w:val="auto"/>
          <w:highlight w:val="none"/>
        </w:rPr>
        <w:t>）</w:t>
      </w:r>
    </w:p>
    <w:p w14:paraId="44450DF8">
      <w:pPr>
        <w:spacing w:line="480" w:lineRule="auto"/>
        <w:ind w:left="2940" w:leftChars="1400"/>
        <w:rPr>
          <w:rFonts w:ascii="Calibri" w:hAnsi="Calibri"/>
          <w:color w:val="auto"/>
          <w:szCs w:val="22"/>
          <w:highlight w:val="none"/>
        </w:rPr>
      </w:pPr>
      <w:r>
        <w:rPr>
          <w:rFonts w:hint="eastAsia" w:ascii="Calibri" w:hAnsi="Calibri"/>
          <w:color w:val="auto"/>
          <w:szCs w:val="22"/>
          <w:highlight w:val="none"/>
        </w:rPr>
        <w:t>身份证</w:t>
      </w:r>
      <w:r>
        <w:rPr>
          <w:rFonts w:ascii="Calibri" w:hAnsi="Calibri"/>
          <w:color w:val="auto"/>
          <w:szCs w:val="22"/>
          <w:highlight w:val="none"/>
        </w:rPr>
        <w:t>号码</w:t>
      </w:r>
      <w:r>
        <w:rPr>
          <w:rFonts w:hint="eastAsia" w:ascii="Calibri" w:hAnsi="Calibri"/>
          <w:color w:val="auto"/>
          <w:szCs w:val="22"/>
          <w:highlight w:val="none"/>
        </w:rPr>
        <w:t>：</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p>
    <w:p w14:paraId="19DF5126">
      <w:pPr>
        <w:spacing w:line="480" w:lineRule="auto"/>
        <w:jc w:val="right"/>
        <w:rPr>
          <w:rFonts w:ascii="Calibri" w:hAnsi="Calibri"/>
          <w:color w:val="auto"/>
          <w:szCs w:val="22"/>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23DC50">
      <w:pPr>
        <w:rPr>
          <w:rFonts w:ascii="Calibri" w:hAnsi="Calibri"/>
          <w:color w:val="auto"/>
          <w:szCs w:val="22"/>
          <w:highlight w:val="none"/>
        </w:rPr>
      </w:pPr>
    </w:p>
    <w:p w14:paraId="4773CAD8">
      <w:pPr>
        <w:adjustRightInd w:val="0"/>
        <w:snapToGrid w:val="0"/>
        <w:spacing w:line="360" w:lineRule="auto"/>
        <w:rPr>
          <w:rFonts w:ascii="宋体" w:hAnsi="宋体"/>
          <w:b/>
          <w:color w:val="auto"/>
          <w:szCs w:val="21"/>
          <w:highlight w:val="none"/>
        </w:rPr>
      </w:pPr>
      <w:r>
        <w:rPr>
          <w:rFonts w:ascii="宋体" w:hAnsi="宋体"/>
          <w:b/>
          <w:color w:val="auto"/>
          <w:szCs w:val="21"/>
          <w:highlight w:val="none"/>
        </w:rPr>
        <w:t>＊注：必须按要求提交上述附件材料，否则此</w:t>
      </w:r>
      <w:r>
        <w:rPr>
          <w:rFonts w:hint="eastAsia" w:ascii="宋体" w:hAnsi="宋体"/>
          <w:b/>
          <w:color w:val="auto"/>
          <w:szCs w:val="21"/>
          <w:highlight w:val="none"/>
        </w:rPr>
        <w:t>法定代表人授权委托书</w:t>
      </w:r>
      <w:r>
        <w:rPr>
          <w:rFonts w:ascii="宋体" w:hAnsi="宋体"/>
          <w:b/>
          <w:color w:val="auto"/>
          <w:szCs w:val="21"/>
          <w:highlight w:val="none"/>
        </w:rPr>
        <w:t>无效。</w:t>
      </w:r>
    </w:p>
    <w:p w14:paraId="3E6C60B1">
      <w:pPr>
        <w:spacing w:before="272" w:beforeLines="100" w:after="136" w:afterLines="50"/>
        <w:jc w:val="center"/>
        <w:rPr>
          <w:rFonts w:eastAsia="黑体"/>
          <w:color w:val="auto"/>
          <w:sz w:val="28"/>
          <w:szCs w:val="28"/>
          <w:highlight w:val="none"/>
        </w:rPr>
      </w:pPr>
    </w:p>
    <w:p w14:paraId="65E09E8D">
      <w:pPr>
        <w:spacing w:before="272" w:beforeLines="100" w:after="136" w:afterLines="50"/>
        <w:jc w:val="both"/>
        <w:rPr>
          <w:rFonts w:eastAsia="黑体"/>
          <w:color w:val="auto"/>
          <w:sz w:val="28"/>
          <w:szCs w:val="28"/>
          <w:highlight w:val="none"/>
        </w:rPr>
      </w:pPr>
    </w:p>
    <w:p w14:paraId="4794E945">
      <w:pPr>
        <w:rPr>
          <w:rFonts w:hint="eastAsia" w:eastAsia="黑体"/>
          <w:color w:val="auto"/>
          <w:sz w:val="28"/>
          <w:szCs w:val="28"/>
          <w:highlight w:val="none"/>
        </w:rPr>
      </w:pPr>
      <w:r>
        <w:rPr>
          <w:rFonts w:hint="eastAsia" w:eastAsia="黑体"/>
          <w:color w:val="auto"/>
          <w:sz w:val="28"/>
          <w:szCs w:val="28"/>
          <w:highlight w:val="none"/>
        </w:rPr>
        <w:br w:type="page"/>
      </w:r>
    </w:p>
    <w:p w14:paraId="3E2A878C">
      <w:pPr>
        <w:pStyle w:val="137"/>
        <w:jc w:val="center"/>
        <w:outlineLvl w:val="1"/>
        <w:rPr>
          <w:rFonts w:hint="eastAsia" w:eastAsia="黑体"/>
          <w:highlight w:val="none"/>
          <w:lang w:eastAsia="zh-CN"/>
        </w:rPr>
      </w:pPr>
      <w:r>
        <w:rPr>
          <w:rFonts w:hint="eastAsia" w:eastAsia="黑体"/>
          <w:color w:val="auto"/>
          <w:sz w:val="28"/>
          <w:szCs w:val="28"/>
          <w:highlight w:val="none"/>
        </w:rPr>
        <w:t>四</w:t>
      </w:r>
      <w:r>
        <w:rPr>
          <w:rFonts w:hint="eastAsia"/>
          <w:highlight w:val="none"/>
        </w:rPr>
        <w:t>、联合体协议书</w:t>
      </w:r>
      <w:r>
        <w:rPr>
          <w:rFonts w:hint="eastAsia"/>
          <w:highlight w:val="none"/>
          <w:lang w:eastAsia="zh-CN"/>
        </w:rPr>
        <w:t>（</w:t>
      </w:r>
      <w:r>
        <w:rPr>
          <w:rFonts w:hint="eastAsia"/>
          <w:highlight w:val="none"/>
          <w:lang w:val="en-US" w:eastAsia="zh-CN"/>
        </w:rPr>
        <w:t>本项目不适用</w:t>
      </w:r>
      <w:r>
        <w:rPr>
          <w:rFonts w:hint="eastAsia"/>
          <w:highlight w:val="none"/>
          <w:lang w:eastAsia="zh-CN"/>
        </w:rPr>
        <w:t>）</w:t>
      </w:r>
    </w:p>
    <w:p w14:paraId="2638008D">
      <w:pPr>
        <w:spacing w:line="400" w:lineRule="exact"/>
        <w:rPr>
          <w:szCs w:val="21"/>
          <w:highlight w:val="none"/>
        </w:rPr>
      </w:pPr>
    </w:p>
    <w:p w14:paraId="2D1C2EF9">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highlight w:val="none"/>
        </w:rPr>
      </w:pPr>
      <w:r>
        <w:rPr>
          <w:szCs w:val="21"/>
          <w:highlight w:val="none"/>
          <w:u w:val="single"/>
        </w:rPr>
        <w:t xml:space="preserve">       </w:t>
      </w:r>
      <w:r>
        <w:rPr>
          <w:szCs w:val="21"/>
          <w:highlight w:val="none"/>
        </w:rPr>
        <w:t>（所有成员单位名称）自愿组成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w:t>
      </w:r>
      <w:r>
        <w:rPr>
          <w:szCs w:val="21"/>
          <w:highlight w:val="none"/>
        </w:rPr>
        <w:t>（项目名称）投标。现就联合体投标事宜订立如下协议。</w:t>
      </w:r>
    </w:p>
    <w:p w14:paraId="7999F669">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highlight w:val="none"/>
        </w:rPr>
      </w:pPr>
      <w:r>
        <w:rPr>
          <w:szCs w:val="21"/>
          <w:highlight w:val="none"/>
        </w:rPr>
        <w:t>1、</w:t>
      </w:r>
      <w:r>
        <w:rPr>
          <w:szCs w:val="21"/>
          <w:highlight w:val="none"/>
          <w:u w:val="single"/>
        </w:rPr>
        <w:t xml:space="preserve">       </w:t>
      </w:r>
      <w:r>
        <w:rPr>
          <w:szCs w:val="21"/>
          <w:highlight w:val="none"/>
        </w:rPr>
        <w:t>（某成员单位名称）为</w:t>
      </w:r>
      <w:r>
        <w:rPr>
          <w:szCs w:val="21"/>
          <w:highlight w:val="none"/>
          <w:u w:val="single"/>
        </w:rPr>
        <w:t xml:space="preserve">     </w:t>
      </w:r>
      <w:r>
        <w:rPr>
          <w:szCs w:val="21"/>
          <w:highlight w:val="none"/>
        </w:rPr>
        <w:t>（联合体名称）牵头人。</w:t>
      </w:r>
    </w:p>
    <w:p w14:paraId="196311AA">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highlight w:val="none"/>
        </w:rPr>
      </w:pPr>
      <w:r>
        <w:rPr>
          <w:szCs w:val="21"/>
          <w:highlight w:val="none"/>
        </w:rPr>
        <w:t>2、联合体牵头人</w:t>
      </w:r>
      <w:r>
        <w:rPr>
          <w:rFonts w:hint="eastAsia"/>
          <w:szCs w:val="21"/>
          <w:highlight w:val="none"/>
        </w:rPr>
        <w:t>合法代表联合体各成员负责本招标项目投标文件编制和合同谈判活动，并代表联合体提交和接收相关的资料、信息及指示，并处理与之有关的一切事务，</w:t>
      </w:r>
      <w:r>
        <w:rPr>
          <w:szCs w:val="21"/>
          <w:highlight w:val="none"/>
        </w:rPr>
        <w:t>负责合同实施阶段的主办、组织和协调工作。</w:t>
      </w:r>
    </w:p>
    <w:p w14:paraId="653F3F54">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ascii="Times New Roman" w:hAnsi="Times New Roman" w:eastAsia="宋体" w:cs="Times New Roman"/>
          <w:szCs w:val="21"/>
          <w:highlight w:val="none"/>
        </w:rPr>
      </w:pPr>
      <w:r>
        <w:rPr>
          <w:rFonts w:ascii="Times New Roman" w:hAnsi="Times New Roman" w:eastAsia="宋体" w:cs="Times New Roman"/>
          <w:szCs w:val="21"/>
          <w:highlight w:val="none"/>
        </w:rPr>
        <w:t>3、联合体将严格按照招标文件的各项要求，递交投标文件，履行合同，并对外承担连带责任。</w:t>
      </w:r>
    </w:p>
    <w:p w14:paraId="46FC7D95">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4、建设单位对联合体双方签订承包合同，费用根据工作内容节点分别支付给联合体各方，具体支付方式在合同中详细规定。</w:t>
      </w:r>
    </w:p>
    <w:p w14:paraId="04910161">
      <w:pPr>
        <w:pStyle w:val="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highlight w:val="none"/>
        </w:rPr>
        <w:t>5、联合体各成员单位内部的职责分工如下</w:t>
      </w:r>
      <w:r>
        <w:rPr>
          <w:rFonts w:hint="eastAsia"/>
          <w:highlight w:val="none"/>
          <w:u w:val="single"/>
        </w:rPr>
        <w:t xml:space="preserve">             </w:t>
      </w:r>
      <w:r>
        <w:rPr>
          <w:rFonts w:hint="eastAsia"/>
          <w:highlight w:val="none"/>
        </w:rPr>
        <w:t>。</w:t>
      </w:r>
    </w:p>
    <w:p w14:paraId="6522D700">
      <w:pPr>
        <w:pStyle w:val="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highlight w:val="none"/>
        </w:rPr>
        <w:t>6、本协议未尽事宜,经协议双方协商一致后,可以签订补充条款。</w:t>
      </w:r>
    </w:p>
    <w:p w14:paraId="695BD1EE">
      <w:pPr>
        <w:pStyle w:val="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highlight w:val="none"/>
        </w:rPr>
        <w:t xml:space="preserve">7、本协议书自签署之日起生效，合同履行完毕后自动失效。 </w:t>
      </w:r>
    </w:p>
    <w:p w14:paraId="32D7C28C">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highlight w:val="none"/>
        </w:rPr>
      </w:pPr>
      <w:r>
        <w:rPr>
          <w:rFonts w:hint="eastAsia"/>
          <w:szCs w:val="21"/>
          <w:highlight w:val="none"/>
        </w:rPr>
        <w:t>8</w:t>
      </w:r>
      <w:r>
        <w:rPr>
          <w:szCs w:val="21"/>
          <w:highlight w:val="none"/>
        </w:rPr>
        <w:t>、本协议书一式</w:t>
      </w:r>
      <w:r>
        <w:rPr>
          <w:szCs w:val="21"/>
          <w:highlight w:val="none"/>
          <w:u w:val="single"/>
        </w:rPr>
        <w:t xml:space="preserve">   </w:t>
      </w:r>
      <w:r>
        <w:rPr>
          <w:szCs w:val="21"/>
          <w:highlight w:val="none"/>
        </w:rPr>
        <w:t>份，联合体成员和招标人各执一份。</w:t>
      </w:r>
    </w:p>
    <w:p w14:paraId="0E193D67">
      <w:pPr>
        <w:keepNext w:val="0"/>
        <w:keepLines w:val="0"/>
        <w:pageBreakBefore w:val="0"/>
        <w:widowControl w:val="0"/>
        <w:kinsoku/>
        <w:wordWrap/>
        <w:overflowPunct/>
        <w:topLinePunct/>
        <w:autoSpaceDE/>
        <w:autoSpaceDN/>
        <w:bidi w:val="0"/>
        <w:adjustRightInd/>
        <w:snapToGrid/>
        <w:spacing w:line="360" w:lineRule="auto"/>
        <w:textAlignment w:val="auto"/>
        <w:rPr>
          <w:szCs w:val="21"/>
          <w:highlight w:val="none"/>
        </w:rPr>
      </w:pPr>
    </w:p>
    <w:p w14:paraId="5B01EF6F">
      <w:pPr>
        <w:keepNext w:val="0"/>
        <w:keepLines w:val="0"/>
        <w:pageBreakBefore w:val="0"/>
        <w:widowControl w:val="0"/>
        <w:kinsoku/>
        <w:wordWrap/>
        <w:overflowPunct/>
        <w:topLinePunct/>
        <w:autoSpaceDE/>
        <w:autoSpaceDN/>
        <w:bidi w:val="0"/>
        <w:adjustRightInd/>
        <w:snapToGrid/>
        <w:spacing w:line="360" w:lineRule="auto"/>
        <w:ind w:firstLine="420" w:firstLineChars="200"/>
        <w:textAlignment w:val="auto"/>
        <w:rPr>
          <w:szCs w:val="21"/>
          <w:highlight w:val="none"/>
        </w:rPr>
      </w:pPr>
      <w:r>
        <w:rPr>
          <w:rFonts w:hint="eastAsia"/>
          <w:szCs w:val="21"/>
          <w:highlight w:val="none"/>
        </w:rPr>
        <w:t>注：本协议书由委托代理人签字的，应附法定代表人签字的授权委托书。</w:t>
      </w:r>
    </w:p>
    <w:p w14:paraId="0BF1EA8F">
      <w:pPr>
        <w:topLinePunct/>
        <w:spacing w:line="440" w:lineRule="exact"/>
        <w:rPr>
          <w:szCs w:val="21"/>
          <w:highlight w:val="none"/>
        </w:rPr>
      </w:pPr>
    </w:p>
    <w:p w14:paraId="58092C3D">
      <w:pPr>
        <w:topLinePunct/>
        <w:spacing w:line="440" w:lineRule="exact"/>
        <w:rPr>
          <w:szCs w:val="21"/>
          <w:highlight w:val="none"/>
        </w:rPr>
      </w:pPr>
      <w:r>
        <w:rPr>
          <w:rFonts w:hint="eastAsia"/>
          <w:szCs w:val="21"/>
          <w:highlight w:val="none"/>
        </w:rPr>
        <w:t>联合</w:t>
      </w:r>
      <w:r>
        <w:rPr>
          <w:szCs w:val="21"/>
          <w:highlight w:val="none"/>
        </w:rPr>
        <w:t>牵头人名称：</w:t>
      </w:r>
      <w:r>
        <w:rPr>
          <w:szCs w:val="21"/>
          <w:highlight w:val="none"/>
          <w:u w:val="single"/>
        </w:rPr>
        <w:t xml:space="preserve">                                 </w:t>
      </w:r>
      <w:r>
        <w:rPr>
          <w:szCs w:val="21"/>
          <w:highlight w:val="none"/>
        </w:rPr>
        <w:t>（盖章）</w:t>
      </w:r>
    </w:p>
    <w:p w14:paraId="006CC427">
      <w:pPr>
        <w:topLinePunct/>
        <w:spacing w:line="440" w:lineRule="exact"/>
        <w:rPr>
          <w:szCs w:val="21"/>
          <w:highlight w:val="none"/>
        </w:rPr>
      </w:pPr>
      <w:r>
        <w:rPr>
          <w:szCs w:val="21"/>
          <w:highlight w:val="none"/>
        </w:rPr>
        <w:t>法定代表人或其委托代理人：</w:t>
      </w:r>
      <w:r>
        <w:rPr>
          <w:szCs w:val="21"/>
          <w:highlight w:val="none"/>
          <w:u w:val="single"/>
        </w:rPr>
        <w:t xml:space="preserve">                       </w:t>
      </w:r>
      <w:r>
        <w:rPr>
          <w:szCs w:val="21"/>
          <w:highlight w:val="none"/>
        </w:rPr>
        <w:t>（签字）</w:t>
      </w:r>
    </w:p>
    <w:p w14:paraId="59E1AF16">
      <w:pPr>
        <w:topLinePunct/>
        <w:spacing w:line="440" w:lineRule="exact"/>
        <w:rPr>
          <w:szCs w:val="21"/>
          <w:highlight w:val="none"/>
        </w:rPr>
      </w:pPr>
    </w:p>
    <w:p w14:paraId="13F9DEB4">
      <w:pPr>
        <w:topLinePunct/>
        <w:spacing w:line="440" w:lineRule="exact"/>
        <w:rPr>
          <w:szCs w:val="21"/>
          <w:highlight w:val="none"/>
        </w:rPr>
      </w:pPr>
      <w:r>
        <w:rPr>
          <w:rFonts w:hint="eastAsia"/>
          <w:szCs w:val="21"/>
          <w:highlight w:val="none"/>
        </w:rPr>
        <w:t>联合体</w:t>
      </w:r>
      <w:r>
        <w:rPr>
          <w:szCs w:val="21"/>
          <w:highlight w:val="none"/>
        </w:rPr>
        <w:t>成员名称：</w:t>
      </w:r>
      <w:r>
        <w:rPr>
          <w:szCs w:val="21"/>
          <w:highlight w:val="none"/>
          <w:u w:val="single"/>
        </w:rPr>
        <w:t xml:space="preserve">                                 </w:t>
      </w:r>
      <w:r>
        <w:rPr>
          <w:szCs w:val="21"/>
          <w:highlight w:val="none"/>
        </w:rPr>
        <w:t>（盖章）</w:t>
      </w:r>
    </w:p>
    <w:p w14:paraId="2CAFC3EB">
      <w:pPr>
        <w:topLinePunct/>
        <w:spacing w:line="440" w:lineRule="exact"/>
        <w:rPr>
          <w:szCs w:val="21"/>
          <w:highlight w:val="none"/>
        </w:rPr>
      </w:pPr>
      <w:r>
        <w:rPr>
          <w:szCs w:val="21"/>
          <w:highlight w:val="none"/>
        </w:rPr>
        <w:t>法定代表人或其委托代理人：</w:t>
      </w:r>
      <w:r>
        <w:rPr>
          <w:szCs w:val="21"/>
          <w:highlight w:val="none"/>
          <w:u w:val="single"/>
        </w:rPr>
        <w:t xml:space="preserve">                       </w:t>
      </w:r>
      <w:r>
        <w:rPr>
          <w:szCs w:val="21"/>
          <w:highlight w:val="none"/>
        </w:rPr>
        <w:t>（签字）</w:t>
      </w:r>
    </w:p>
    <w:p w14:paraId="45D99BB9">
      <w:pPr>
        <w:topLinePunct/>
        <w:spacing w:line="440" w:lineRule="exact"/>
        <w:rPr>
          <w:szCs w:val="21"/>
          <w:highlight w:val="none"/>
        </w:rPr>
      </w:pPr>
      <w:r>
        <w:rPr>
          <w:szCs w:val="21"/>
          <w:highlight w:val="none"/>
        </w:rPr>
        <w:t xml:space="preserve"> </w:t>
      </w:r>
    </w:p>
    <w:p w14:paraId="684306D5">
      <w:pPr>
        <w:topLinePunct/>
        <w:spacing w:line="440" w:lineRule="exact"/>
        <w:rPr>
          <w:szCs w:val="21"/>
          <w:highlight w:val="none"/>
        </w:rPr>
      </w:pPr>
      <w:r>
        <w:rPr>
          <w:szCs w:val="21"/>
          <w:highlight w:val="none"/>
        </w:rPr>
        <w:t xml:space="preserve">…… </w:t>
      </w:r>
    </w:p>
    <w:p w14:paraId="7669977A">
      <w:pPr>
        <w:topLinePunct/>
        <w:spacing w:line="440" w:lineRule="exact"/>
        <w:rPr>
          <w:szCs w:val="21"/>
          <w:highlight w:val="none"/>
        </w:rPr>
      </w:pPr>
    </w:p>
    <w:p w14:paraId="32BCA4BB">
      <w:pPr>
        <w:pStyle w:val="44"/>
      </w:pPr>
      <w:r>
        <w:rPr>
          <w:highlight w:val="none"/>
          <w:u w:val="single"/>
        </w:rPr>
        <w:t xml:space="preserve">        </w:t>
      </w:r>
      <w:r>
        <w:rPr>
          <w:highlight w:val="none"/>
        </w:rPr>
        <w:t>年</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月</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日</w:t>
      </w:r>
    </w:p>
    <w:p w14:paraId="32AA30A1">
      <w:pPr>
        <w:rPr>
          <w:rFonts w:hint="eastAsia" w:eastAsia="黑体"/>
          <w:color w:val="auto"/>
          <w:sz w:val="28"/>
          <w:szCs w:val="28"/>
          <w:highlight w:val="none"/>
        </w:rPr>
      </w:pPr>
      <w:r>
        <w:rPr>
          <w:rFonts w:hint="eastAsia" w:eastAsia="黑体"/>
          <w:color w:val="auto"/>
          <w:sz w:val="28"/>
          <w:szCs w:val="28"/>
          <w:highlight w:val="none"/>
        </w:rPr>
        <w:br w:type="page"/>
      </w:r>
    </w:p>
    <w:p w14:paraId="5B8BA4FF">
      <w:pPr>
        <w:spacing w:before="272" w:beforeLines="100" w:after="136" w:afterLines="50"/>
        <w:jc w:val="center"/>
        <w:rPr>
          <w:rFonts w:eastAsia="黑体"/>
          <w:color w:val="auto"/>
          <w:sz w:val="28"/>
          <w:szCs w:val="28"/>
          <w:highlight w:val="none"/>
        </w:rPr>
      </w:pPr>
      <w:r>
        <w:rPr>
          <w:rFonts w:hint="eastAsia" w:eastAsia="黑体"/>
          <w:color w:val="auto"/>
          <w:sz w:val="28"/>
          <w:szCs w:val="28"/>
          <w:highlight w:val="none"/>
          <w:lang w:val="en-US" w:eastAsia="zh-CN"/>
        </w:rPr>
        <w:t>五</w:t>
      </w:r>
      <w:r>
        <w:rPr>
          <w:rFonts w:eastAsia="黑体"/>
          <w:color w:val="auto"/>
          <w:sz w:val="28"/>
          <w:szCs w:val="28"/>
          <w:highlight w:val="none"/>
        </w:rPr>
        <w:t>、投标保证金</w:t>
      </w:r>
    </w:p>
    <w:p w14:paraId="3E436A3E">
      <w:pPr>
        <w:spacing w:before="272" w:beforeLines="100" w:after="136" w:afterLines="50" w:line="430" w:lineRule="exact"/>
        <w:jc w:val="center"/>
        <w:rPr>
          <w:rFonts w:eastAsia="黑体"/>
          <w:color w:val="auto"/>
          <w:sz w:val="28"/>
          <w:szCs w:val="28"/>
          <w:highlight w:val="none"/>
        </w:rPr>
      </w:pPr>
    </w:p>
    <w:p w14:paraId="6E54DD54">
      <w:pPr>
        <w:spacing w:line="480" w:lineRule="auto"/>
        <w:rPr>
          <w:rFonts w:ascii="宋体" w:hAnsi="宋体"/>
          <w:color w:val="auto"/>
          <w:szCs w:val="22"/>
          <w:highlight w:val="none"/>
        </w:rPr>
      </w:pPr>
      <w:r>
        <w:rPr>
          <w:rFonts w:hint="eastAsia" w:ascii="宋体" w:hAnsi="宋体"/>
          <w:color w:val="auto"/>
          <w:szCs w:val="22"/>
          <w:highlight w:val="none"/>
        </w:rPr>
        <w:t>1.投标保证金缴纳凭据扫描件或复印件；</w:t>
      </w:r>
    </w:p>
    <w:p w14:paraId="0C4D1E8F">
      <w:pPr>
        <w:spacing w:line="480" w:lineRule="auto"/>
        <w:rPr>
          <w:rFonts w:ascii="Calibri" w:hAnsi="Calibri"/>
          <w:color w:val="auto"/>
          <w:szCs w:val="22"/>
          <w:highlight w:val="none"/>
        </w:rPr>
      </w:pPr>
      <w:r>
        <w:rPr>
          <w:rFonts w:hint="eastAsia" w:ascii="宋体" w:hAnsi="宋体"/>
          <w:color w:val="auto"/>
          <w:szCs w:val="22"/>
          <w:highlight w:val="none"/>
        </w:rPr>
        <w:t>2. 基本账户开户许可证或基本存款账户信息单扫描件或复印件；</w:t>
      </w:r>
    </w:p>
    <w:p w14:paraId="010AA3AA">
      <w:pPr>
        <w:spacing w:before="272" w:beforeLines="100" w:after="136" w:afterLines="50"/>
        <w:jc w:val="center"/>
        <w:rPr>
          <w:rFonts w:ascii="宋体" w:cs="宋体"/>
          <w:color w:val="auto"/>
          <w:kern w:val="0"/>
          <w:szCs w:val="21"/>
          <w:highlight w:val="none"/>
        </w:rPr>
      </w:pPr>
    </w:p>
    <w:p w14:paraId="61346AC0">
      <w:pPr>
        <w:spacing w:before="272" w:beforeLines="100" w:after="136" w:afterLines="50"/>
        <w:jc w:val="center"/>
        <w:rPr>
          <w:rFonts w:ascii="宋体" w:cs="宋体"/>
          <w:color w:val="auto"/>
          <w:kern w:val="0"/>
          <w:szCs w:val="21"/>
          <w:highlight w:val="none"/>
        </w:rPr>
      </w:pPr>
    </w:p>
    <w:p w14:paraId="79D40ECC">
      <w:pPr>
        <w:spacing w:before="272" w:beforeLines="100" w:after="136" w:afterLines="50"/>
        <w:jc w:val="center"/>
        <w:rPr>
          <w:rFonts w:ascii="宋体" w:cs="宋体"/>
          <w:color w:val="auto"/>
          <w:kern w:val="0"/>
          <w:szCs w:val="21"/>
          <w:highlight w:val="none"/>
        </w:rPr>
      </w:pPr>
    </w:p>
    <w:p w14:paraId="3A493C9F">
      <w:pPr>
        <w:spacing w:before="272" w:beforeLines="100" w:after="136" w:afterLines="50"/>
        <w:jc w:val="center"/>
        <w:rPr>
          <w:rFonts w:ascii="宋体" w:cs="宋体"/>
          <w:color w:val="auto"/>
          <w:kern w:val="0"/>
          <w:szCs w:val="21"/>
          <w:highlight w:val="none"/>
        </w:rPr>
      </w:pPr>
    </w:p>
    <w:p w14:paraId="394E9E79">
      <w:pPr>
        <w:spacing w:before="272" w:beforeLines="100" w:after="136" w:afterLines="50"/>
        <w:jc w:val="center"/>
        <w:rPr>
          <w:rFonts w:ascii="宋体" w:cs="宋体"/>
          <w:color w:val="auto"/>
          <w:kern w:val="0"/>
          <w:szCs w:val="21"/>
          <w:highlight w:val="none"/>
        </w:rPr>
      </w:pPr>
    </w:p>
    <w:p w14:paraId="30365796">
      <w:pPr>
        <w:spacing w:before="272" w:beforeLines="100" w:after="136" w:afterLines="50"/>
        <w:jc w:val="center"/>
        <w:rPr>
          <w:rFonts w:ascii="宋体" w:cs="宋体"/>
          <w:color w:val="auto"/>
          <w:kern w:val="0"/>
          <w:szCs w:val="21"/>
          <w:highlight w:val="none"/>
        </w:rPr>
      </w:pPr>
    </w:p>
    <w:p w14:paraId="38D9FA25">
      <w:pPr>
        <w:spacing w:before="272" w:beforeLines="100" w:after="136" w:afterLines="50"/>
        <w:jc w:val="center"/>
        <w:rPr>
          <w:rFonts w:ascii="宋体" w:cs="宋体"/>
          <w:color w:val="auto"/>
          <w:kern w:val="0"/>
          <w:szCs w:val="21"/>
          <w:highlight w:val="none"/>
        </w:rPr>
      </w:pPr>
    </w:p>
    <w:p w14:paraId="78CE5164">
      <w:pPr>
        <w:pStyle w:val="43"/>
        <w:ind w:firstLine="210"/>
        <w:rPr>
          <w:rFonts w:ascii="宋体" w:cs="宋体"/>
          <w:color w:val="auto"/>
          <w:kern w:val="0"/>
          <w:szCs w:val="21"/>
          <w:highlight w:val="none"/>
        </w:rPr>
      </w:pPr>
    </w:p>
    <w:p w14:paraId="74CC4AF4">
      <w:pPr>
        <w:pStyle w:val="43"/>
        <w:ind w:firstLine="210"/>
        <w:rPr>
          <w:rFonts w:ascii="宋体" w:cs="宋体"/>
          <w:color w:val="auto"/>
          <w:kern w:val="0"/>
          <w:szCs w:val="21"/>
          <w:highlight w:val="none"/>
        </w:rPr>
      </w:pPr>
    </w:p>
    <w:p w14:paraId="1C6822F7">
      <w:pPr>
        <w:spacing w:before="272" w:beforeLines="100" w:after="136" w:afterLines="50"/>
        <w:jc w:val="center"/>
        <w:rPr>
          <w:rFonts w:ascii="宋体" w:cs="宋体"/>
          <w:color w:val="auto"/>
          <w:kern w:val="0"/>
          <w:szCs w:val="21"/>
          <w:highlight w:val="none"/>
        </w:rPr>
      </w:pPr>
    </w:p>
    <w:p w14:paraId="41DF2698">
      <w:pPr>
        <w:spacing w:before="272" w:beforeLines="100" w:after="136" w:afterLines="50"/>
        <w:jc w:val="center"/>
        <w:rPr>
          <w:rFonts w:ascii="宋体" w:cs="宋体"/>
          <w:color w:val="auto"/>
          <w:kern w:val="0"/>
          <w:szCs w:val="21"/>
          <w:highlight w:val="none"/>
        </w:rPr>
      </w:pPr>
    </w:p>
    <w:p w14:paraId="655B35C6">
      <w:pPr>
        <w:spacing w:before="272" w:beforeLines="100" w:after="136" w:afterLines="50"/>
        <w:jc w:val="center"/>
        <w:rPr>
          <w:rFonts w:ascii="宋体" w:cs="宋体"/>
          <w:color w:val="auto"/>
          <w:kern w:val="0"/>
          <w:szCs w:val="21"/>
          <w:highlight w:val="none"/>
        </w:rPr>
      </w:pPr>
    </w:p>
    <w:p w14:paraId="66719E5E">
      <w:pPr>
        <w:spacing w:before="272" w:beforeLines="100" w:after="136" w:afterLines="50"/>
        <w:jc w:val="center"/>
        <w:rPr>
          <w:rFonts w:ascii="宋体" w:cs="宋体"/>
          <w:color w:val="auto"/>
          <w:kern w:val="0"/>
          <w:szCs w:val="21"/>
          <w:highlight w:val="none"/>
        </w:rPr>
      </w:pPr>
    </w:p>
    <w:p w14:paraId="6D4A5F93">
      <w:pPr>
        <w:spacing w:before="272" w:beforeLines="100" w:after="136" w:afterLines="50"/>
        <w:jc w:val="center"/>
        <w:rPr>
          <w:rFonts w:ascii="宋体" w:cs="宋体"/>
          <w:color w:val="auto"/>
          <w:kern w:val="0"/>
          <w:szCs w:val="21"/>
          <w:highlight w:val="none"/>
        </w:rPr>
      </w:pPr>
    </w:p>
    <w:p w14:paraId="64A9DDF0">
      <w:pPr>
        <w:spacing w:before="272" w:beforeLines="100" w:after="136" w:afterLines="50"/>
        <w:jc w:val="center"/>
        <w:rPr>
          <w:rFonts w:ascii="宋体" w:cs="宋体"/>
          <w:color w:val="auto"/>
          <w:kern w:val="0"/>
          <w:szCs w:val="21"/>
          <w:highlight w:val="none"/>
        </w:rPr>
      </w:pPr>
    </w:p>
    <w:p w14:paraId="6CD4A96D">
      <w:pPr>
        <w:rPr>
          <w:rFonts w:hint="eastAsia" w:eastAsia="黑体" w:cs="宋体"/>
          <w:color w:val="auto"/>
          <w:sz w:val="28"/>
          <w:highlight w:val="none"/>
        </w:rPr>
        <w:sectPr>
          <w:pgSz w:w="11907" w:h="16840"/>
          <w:pgMar w:top="1191" w:right="1361" w:bottom="1077" w:left="1531" w:header="777" w:footer="652" w:gutter="0"/>
          <w:pgNumType w:fmt="decimal"/>
          <w:cols w:space="0" w:num="1"/>
          <w:rtlGutter w:val="0"/>
          <w:docGrid w:type="lines" w:linePitch="290" w:charSpace="0"/>
        </w:sectPr>
      </w:pPr>
      <w:bookmarkStart w:id="259" w:name="_Toc152042596"/>
      <w:bookmarkStart w:id="260" w:name="_Toc18379"/>
      <w:bookmarkStart w:id="261" w:name="_Toc144974875"/>
      <w:bookmarkStart w:id="262" w:name="_Toc152045807"/>
      <w:bookmarkStart w:id="263" w:name="_Toc7893"/>
      <w:r>
        <w:rPr>
          <w:rFonts w:hint="eastAsia" w:eastAsia="黑体" w:cs="宋体"/>
          <w:color w:val="auto"/>
          <w:sz w:val="28"/>
          <w:highlight w:val="none"/>
        </w:rPr>
        <w:br w:type="page"/>
      </w:r>
    </w:p>
    <w:p w14:paraId="23565D3A">
      <w:pPr>
        <w:keepNext/>
        <w:keepLines/>
        <w:numPr>
          <w:ilvl w:val="0"/>
          <w:numId w:val="0"/>
        </w:numPr>
        <w:spacing w:before="100" w:line="400" w:lineRule="exact"/>
        <w:jc w:val="center"/>
        <w:outlineLvl w:val="1"/>
        <w:rPr>
          <w:rFonts w:eastAsia="黑体" w:cs="宋体"/>
          <w:color w:val="auto"/>
          <w:sz w:val="28"/>
          <w:highlight w:val="none"/>
        </w:rPr>
      </w:pPr>
      <w:r>
        <w:rPr>
          <w:rFonts w:hint="eastAsia" w:eastAsia="黑体" w:cs="宋体"/>
          <w:color w:val="auto"/>
          <w:sz w:val="28"/>
          <w:highlight w:val="none"/>
          <w:lang w:val="en-US" w:eastAsia="zh-CN"/>
        </w:rPr>
        <w:t>六、</w:t>
      </w:r>
      <w:r>
        <w:rPr>
          <w:rFonts w:hint="eastAsia" w:eastAsia="黑体" w:cs="宋体"/>
          <w:color w:val="auto"/>
          <w:sz w:val="28"/>
          <w:highlight w:val="none"/>
        </w:rPr>
        <w:t>分项报价</w:t>
      </w:r>
      <w:r>
        <w:rPr>
          <w:rFonts w:hint="eastAsia" w:eastAsia="黑体" w:cs="宋体"/>
          <w:color w:val="auto"/>
          <w:sz w:val="28"/>
          <w:highlight w:val="none"/>
          <w:lang w:eastAsia="zh-CN"/>
        </w:rPr>
        <w:t>表</w:t>
      </w:r>
      <w:bookmarkStart w:id="275" w:name="_GoBack"/>
      <w:bookmarkEnd w:id="275"/>
    </w:p>
    <w:tbl>
      <w:tblPr>
        <w:tblW w:w="14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24"/>
        <w:gridCol w:w="843"/>
        <w:gridCol w:w="881"/>
        <w:gridCol w:w="881"/>
        <w:gridCol w:w="843"/>
        <w:gridCol w:w="1116"/>
        <w:gridCol w:w="992"/>
        <w:gridCol w:w="1128"/>
        <w:gridCol w:w="745"/>
        <w:gridCol w:w="999"/>
        <w:gridCol w:w="788"/>
        <w:gridCol w:w="825"/>
        <w:gridCol w:w="562"/>
        <w:gridCol w:w="825"/>
        <w:gridCol w:w="825"/>
        <w:gridCol w:w="625"/>
        <w:gridCol w:w="1434"/>
      </w:tblGrid>
      <w:tr w14:paraId="216B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B896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84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F4E6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标段</w:t>
            </w:r>
          </w:p>
        </w:tc>
        <w:tc>
          <w:tcPr>
            <w:tcW w:w="8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1587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楼号</w:t>
            </w:r>
          </w:p>
        </w:tc>
        <w:tc>
          <w:tcPr>
            <w:tcW w:w="4960" w:type="dxa"/>
            <w:gridSpan w:val="5"/>
            <w:tcBorders>
              <w:top w:val="single" w:color="000000" w:sz="4" w:space="0"/>
              <w:left w:val="single" w:color="000000" w:sz="4" w:space="0"/>
              <w:bottom w:val="single" w:color="000000" w:sz="4" w:space="0"/>
              <w:right w:val="single" w:color="000000" w:sz="4" w:space="0"/>
            </w:tcBorders>
            <w:shd w:val="clear"/>
            <w:vAlign w:val="center"/>
          </w:tcPr>
          <w:p w14:paraId="640316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参考规格</w:t>
            </w:r>
          </w:p>
        </w:tc>
        <w:tc>
          <w:tcPr>
            <w:tcW w:w="7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7EB7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9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F922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工程量</w:t>
            </w:r>
          </w:p>
        </w:tc>
        <w:tc>
          <w:tcPr>
            <w:tcW w:w="2175" w:type="dxa"/>
            <w:gridSpan w:val="3"/>
            <w:tcBorders>
              <w:top w:val="single" w:color="000000" w:sz="4" w:space="0"/>
              <w:left w:val="single" w:color="000000" w:sz="4" w:space="0"/>
              <w:bottom w:val="single" w:color="000000" w:sz="4" w:space="0"/>
              <w:right w:val="single" w:color="000000" w:sz="4" w:space="0"/>
            </w:tcBorders>
            <w:shd w:val="clear"/>
            <w:vAlign w:val="center"/>
          </w:tcPr>
          <w:p w14:paraId="1EE35F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单价</w:t>
            </w:r>
          </w:p>
        </w:tc>
        <w:tc>
          <w:tcPr>
            <w:tcW w:w="2275" w:type="dxa"/>
            <w:gridSpan w:val="3"/>
            <w:tcBorders>
              <w:top w:val="single" w:color="000000" w:sz="4" w:space="0"/>
              <w:left w:val="single" w:color="000000" w:sz="4" w:space="0"/>
              <w:bottom w:val="single" w:color="000000" w:sz="4" w:space="0"/>
              <w:right w:val="single" w:color="000000" w:sz="4" w:space="0"/>
            </w:tcBorders>
            <w:shd w:val="clear"/>
            <w:vAlign w:val="center"/>
          </w:tcPr>
          <w:p w14:paraId="5FB95F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合价</w:t>
            </w:r>
          </w:p>
        </w:tc>
        <w:tc>
          <w:tcPr>
            <w:tcW w:w="14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2265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14:paraId="3925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AE7CC">
            <w:pPr>
              <w:jc w:val="center"/>
              <w:rPr>
                <w:rFonts w:hint="eastAsia" w:ascii="宋体" w:hAnsi="宋体" w:eastAsia="宋体" w:cs="宋体"/>
                <w:b/>
                <w:bCs/>
                <w:i w:val="0"/>
                <w:iCs w:val="0"/>
                <w:color w:val="000000"/>
                <w:sz w:val="21"/>
                <w:szCs w:val="21"/>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B6E91">
            <w:pPr>
              <w:jc w:val="center"/>
              <w:rPr>
                <w:rFonts w:hint="eastAsia" w:ascii="宋体" w:hAnsi="宋体" w:eastAsia="宋体" w:cs="宋体"/>
                <w:b/>
                <w:bCs/>
                <w:i w:val="0"/>
                <w:iCs w:val="0"/>
                <w:color w:val="000000"/>
                <w:sz w:val="21"/>
                <w:szCs w:val="21"/>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F8BB47">
            <w:pPr>
              <w:jc w:val="center"/>
              <w:rPr>
                <w:rFonts w:hint="eastAsia" w:ascii="宋体" w:hAnsi="宋体" w:eastAsia="宋体" w:cs="宋体"/>
                <w:b/>
                <w:bCs/>
                <w:i w:val="0"/>
                <w:iCs w:val="0"/>
                <w:color w:val="000000"/>
                <w:sz w:val="21"/>
                <w:szCs w:val="21"/>
                <w:u w:val="none"/>
              </w:rPr>
            </w:pPr>
          </w:p>
        </w:tc>
        <w:tc>
          <w:tcPr>
            <w:tcW w:w="881" w:type="dxa"/>
            <w:tcBorders>
              <w:top w:val="single" w:color="000000" w:sz="4" w:space="0"/>
              <w:left w:val="single" w:color="000000" w:sz="4" w:space="0"/>
              <w:bottom w:val="single" w:color="000000" w:sz="4" w:space="0"/>
              <w:right w:val="single" w:color="000000" w:sz="4" w:space="0"/>
            </w:tcBorders>
            <w:shd w:val="clear"/>
            <w:vAlign w:val="center"/>
          </w:tcPr>
          <w:p w14:paraId="7B6BD7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梯形</w:t>
            </w:r>
          </w:p>
        </w:tc>
        <w:tc>
          <w:tcPr>
            <w:tcW w:w="843" w:type="dxa"/>
            <w:tcBorders>
              <w:top w:val="single" w:color="000000" w:sz="4" w:space="0"/>
              <w:left w:val="single" w:color="000000" w:sz="4" w:space="0"/>
              <w:bottom w:val="single" w:color="000000" w:sz="4" w:space="0"/>
              <w:right w:val="single" w:color="000000" w:sz="4" w:space="0"/>
            </w:tcBorders>
            <w:shd w:val="clear"/>
            <w:vAlign w:val="center"/>
          </w:tcPr>
          <w:p w14:paraId="363CC9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层站</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44662E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井道尺寸</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m（宽x高）</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33D647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载重</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A9391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梯速</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（m/s）</w:t>
            </w:r>
          </w:p>
        </w:tc>
        <w:tc>
          <w:tcPr>
            <w:tcW w:w="7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09438">
            <w:pPr>
              <w:jc w:val="center"/>
              <w:rPr>
                <w:rFonts w:hint="eastAsia" w:ascii="宋体" w:hAnsi="宋体" w:eastAsia="宋体" w:cs="宋体"/>
                <w:b/>
                <w:bCs/>
                <w:i w:val="0"/>
                <w:iCs w:val="0"/>
                <w:color w:val="000000"/>
                <w:sz w:val="21"/>
                <w:szCs w:val="21"/>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7D932">
            <w:pPr>
              <w:jc w:val="center"/>
              <w:rPr>
                <w:rFonts w:hint="eastAsia" w:ascii="宋体" w:hAnsi="宋体" w:eastAsia="宋体" w:cs="宋体"/>
                <w:b/>
                <w:bCs/>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0673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 xml:space="preserve">小计 </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B9CB3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其中：</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设备单价</w:t>
            </w:r>
          </w:p>
        </w:tc>
        <w:tc>
          <w:tcPr>
            <w:tcW w:w="562" w:type="dxa"/>
            <w:tcBorders>
              <w:top w:val="single" w:color="000000" w:sz="4" w:space="0"/>
              <w:left w:val="single" w:color="000000" w:sz="4" w:space="0"/>
              <w:bottom w:val="single" w:color="000000" w:sz="4" w:space="0"/>
              <w:right w:val="single" w:color="000000" w:sz="4" w:space="0"/>
            </w:tcBorders>
            <w:shd w:val="clear"/>
            <w:vAlign w:val="center"/>
          </w:tcPr>
          <w:p w14:paraId="43AC9E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其中：</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安装单价</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51AC0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 xml:space="preserve">小计 </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79C8B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其中：</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设备单价</w:t>
            </w:r>
          </w:p>
        </w:tc>
        <w:tc>
          <w:tcPr>
            <w:tcW w:w="625" w:type="dxa"/>
            <w:tcBorders>
              <w:top w:val="single" w:color="000000" w:sz="4" w:space="0"/>
              <w:left w:val="single" w:color="000000" w:sz="4" w:space="0"/>
              <w:bottom w:val="single" w:color="000000" w:sz="4" w:space="0"/>
              <w:right w:val="single" w:color="000000" w:sz="4" w:space="0"/>
            </w:tcBorders>
            <w:shd w:val="clear"/>
            <w:vAlign w:val="center"/>
          </w:tcPr>
          <w:p w14:paraId="582BB7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其中：</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安装单价</w:t>
            </w:r>
          </w:p>
        </w:tc>
        <w:tc>
          <w:tcPr>
            <w:tcW w:w="14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906D3">
            <w:pPr>
              <w:jc w:val="center"/>
              <w:rPr>
                <w:rFonts w:hint="eastAsia" w:ascii="宋体" w:hAnsi="宋体" w:eastAsia="宋体" w:cs="宋体"/>
                <w:b/>
                <w:bCs/>
                <w:i w:val="0"/>
                <w:iCs w:val="0"/>
                <w:color w:val="000000"/>
                <w:sz w:val="21"/>
                <w:szCs w:val="21"/>
                <w:u w:val="none"/>
              </w:rPr>
            </w:pPr>
          </w:p>
        </w:tc>
      </w:tr>
      <w:tr w14:paraId="0312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6D176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843" w:type="dxa"/>
            <w:tcBorders>
              <w:top w:val="single" w:color="000000" w:sz="4" w:space="0"/>
              <w:left w:val="single" w:color="000000" w:sz="4" w:space="0"/>
              <w:bottom w:val="nil"/>
              <w:right w:val="single" w:color="000000" w:sz="4" w:space="0"/>
            </w:tcBorders>
            <w:shd w:val="clear"/>
            <w:vAlign w:val="center"/>
          </w:tcPr>
          <w:p w14:paraId="69843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第一阶段</w:t>
            </w:r>
          </w:p>
        </w:tc>
        <w:tc>
          <w:tcPr>
            <w:tcW w:w="881" w:type="dxa"/>
            <w:tcBorders>
              <w:top w:val="single" w:color="000000" w:sz="4" w:space="0"/>
              <w:left w:val="single" w:color="000000" w:sz="4" w:space="0"/>
              <w:bottom w:val="nil"/>
              <w:right w:val="single" w:color="000000" w:sz="4" w:space="0"/>
            </w:tcBorders>
            <w:shd w:val="clear"/>
            <w:vAlign w:val="center"/>
          </w:tcPr>
          <w:p w14:paraId="1665A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7#-2</w:t>
            </w:r>
          </w:p>
        </w:tc>
        <w:tc>
          <w:tcPr>
            <w:tcW w:w="881" w:type="dxa"/>
            <w:tcBorders>
              <w:top w:val="nil"/>
              <w:left w:val="single" w:color="000000" w:sz="4" w:space="0"/>
              <w:bottom w:val="nil"/>
              <w:right w:val="single" w:color="000000" w:sz="4" w:space="0"/>
            </w:tcBorders>
            <w:shd w:val="clear"/>
            <w:vAlign w:val="center"/>
          </w:tcPr>
          <w:p w14:paraId="20648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DT-1客梯/消防电梯 无障碍电梯</w:t>
            </w:r>
          </w:p>
        </w:tc>
        <w:tc>
          <w:tcPr>
            <w:tcW w:w="843" w:type="dxa"/>
            <w:tcBorders>
              <w:top w:val="nil"/>
              <w:left w:val="single" w:color="000000" w:sz="4" w:space="0"/>
              <w:bottom w:val="nil"/>
              <w:right w:val="single" w:color="000000" w:sz="4" w:space="0"/>
            </w:tcBorders>
            <w:shd w:val="clear"/>
            <w:vAlign w:val="center"/>
          </w:tcPr>
          <w:p w14:paraId="0DA40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13层13站</w:t>
            </w:r>
          </w:p>
        </w:tc>
        <w:tc>
          <w:tcPr>
            <w:tcW w:w="1116" w:type="dxa"/>
            <w:tcBorders>
              <w:top w:val="nil"/>
              <w:left w:val="single" w:color="000000" w:sz="4" w:space="0"/>
              <w:bottom w:val="nil"/>
              <w:right w:val="single" w:color="000000" w:sz="4" w:space="0"/>
            </w:tcBorders>
            <w:shd w:val="clear"/>
            <w:vAlign w:val="center"/>
          </w:tcPr>
          <w:p w14:paraId="3248D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2.0*2.5</w:t>
            </w:r>
          </w:p>
        </w:tc>
        <w:tc>
          <w:tcPr>
            <w:tcW w:w="992" w:type="dxa"/>
            <w:tcBorders>
              <w:top w:val="nil"/>
              <w:left w:val="single" w:color="000000" w:sz="4" w:space="0"/>
              <w:bottom w:val="nil"/>
              <w:right w:val="single" w:color="000000" w:sz="4" w:space="0"/>
            </w:tcBorders>
            <w:shd w:val="clear"/>
            <w:vAlign w:val="center"/>
          </w:tcPr>
          <w:p w14:paraId="38D55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1000</w:t>
            </w:r>
          </w:p>
        </w:tc>
        <w:tc>
          <w:tcPr>
            <w:tcW w:w="1128" w:type="dxa"/>
            <w:tcBorders>
              <w:top w:val="nil"/>
              <w:left w:val="single" w:color="000000" w:sz="4" w:space="0"/>
              <w:bottom w:val="nil"/>
              <w:right w:val="single" w:color="000000" w:sz="4" w:space="0"/>
            </w:tcBorders>
            <w:shd w:val="clear"/>
            <w:vAlign w:val="center"/>
          </w:tcPr>
          <w:p w14:paraId="55851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1.6m/s</w:t>
            </w:r>
          </w:p>
        </w:tc>
        <w:tc>
          <w:tcPr>
            <w:tcW w:w="745" w:type="dxa"/>
            <w:tcBorders>
              <w:top w:val="nil"/>
              <w:left w:val="single" w:color="000000" w:sz="4" w:space="0"/>
              <w:bottom w:val="single" w:color="000000" w:sz="4" w:space="0"/>
              <w:right w:val="single" w:color="000000" w:sz="4" w:space="0"/>
            </w:tcBorders>
            <w:shd w:val="clear"/>
            <w:vAlign w:val="center"/>
          </w:tcPr>
          <w:p w14:paraId="786A4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99" w:type="dxa"/>
            <w:tcBorders>
              <w:top w:val="single" w:color="000000" w:sz="4" w:space="0"/>
              <w:left w:val="single" w:color="000000" w:sz="4" w:space="0"/>
              <w:bottom w:val="single" w:color="000000" w:sz="4" w:space="0"/>
              <w:right w:val="single" w:color="000000" w:sz="4" w:space="0"/>
            </w:tcBorders>
            <w:shd w:val="clear"/>
            <w:vAlign w:val="center"/>
          </w:tcPr>
          <w:p w14:paraId="2B430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788" w:type="dxa"/>
            <w:tcBorders>
              <w:top w:val="single" w:color="000000" w:sz="4" w:space="0"/>
              <w:left w:val="nil"/>
              <w:bottom w:val="single" w:color="000000" w:sz="4" w:space="0"/>
              <w:right w:val="single" w:color="000000" w:sz="4" w:space="0"/>
            </w:tcBorders>
            <w:shd w:val="clear"/>
            <w:vAlign w:val="center"/>
          </w:tcPr>
          <w:p w14:paraId="060C1ECF">
            <w:pP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E0574F4">
            <w:pPr>
              <w:rPr>
                <w:rFonts w:hint="eastAsia" w:ascii="宋体" w:hAnsi="宋体" w:eastAsia="宋体" w:cs="宋体"/>
                <w:i w:val="0"/>
                <w:iCs w:val="0"/>
                <w:color w:val="000000"/>
                <w:sz w:val="21"/>
                <w:szCs w:val="21"/>
                <w:u w:val="none"/>
              </w:rPr>
            </w:pPr>
          </w:p>
        </w:tc>
        <w:tc>
          <w:tcPr>
            <w:tcW w:w="562" w:type="dxa"/>
            <w:tcBorders>
              <w:top w:val="single" w:color="000000" w:sz="4" w:space="0"/>
              <w:left w:val="single" w:color="000000" w:sz="4" w:space="0"/>
              <w:bottom w:val="single" w:color="000000" w:sz="4" w:space="0"/>
              <w:right w:val="single" w:color="000000" w:sz="4" w:space="0"/>
            </w:tcBorders>
            <w:shd w:val="clear"/>
            <w:vAlign w:val="center"/>
          </w:tcPr>
          <w:p w14:paraId="11E11AC4">
            <w:pP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4D31533">
            <w:pP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AED3D97">
            <w:pP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vAlign w:val="center"/>
          </w:tcPr>
          <w:p w14:paraId="400A6994">
            <w:pPr>
              <w:rPr>
                <w:rFonts w:hint="eastAsia" w:ascii="宋体" w:hAnsi="宋体" w:eastAsia="宋体" w:cs="宋体"/>
                <w:i w:val="0"/>
                <w:iCs w:val="0"/>
                <w:color w:val="000000"/>
                <w:sz w:val="21"/>
                <w:szCs w:val="21"/>
                <w:u w:val="none"/>
              </w:rPr>
            </w:pPr>
          </w:p>
        </w:tc>
        <w:tc>
          <w:tcPr>
            <w:tcW w:w="14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B6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说明：以上价格包含设备费、运输费、安装费、辅材费、税费、验收费等全部费用；未尽事宜详见电梯技术参数</w:t>
            </w:r>
          </w:p>
        </w:tc>
      </w:tr>
      <w:tr w14:paraId="1FCD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1" w:hRule="atLeast"/>
        </w:trPr>
        <w:tc>
          <w:tcPr>
            <w:tcW w:w="624" w:type="dxa"/>
            <w:tcBorders>
              <w:top w:val="single" w:color="000000" w:sz="4" w:space="0"/>
              <w:left w:val="single" w:color="000000" w:sz="4" w:space="0"/>
              <w:bottom w:val="single" w:color="000000" w:sz="4" w:space="0"/>
              <w:right w:val="single" w:color="000000" w:sz="4" w:space="0"/>
            </w:tcBorders>
            <w:shd w:val="clear"/>
            <w:vAlign w:val="center"/>
          </w:tcPr>
          <w:p w14:paraId="12F19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6684" w:type="dxa"/>
            <w:gridSpan w:val="7"/>
            <w:tcBorders>
              <w:top w:val="single" w:color="000000" w:sz="4" w:space="0"/>
              <w:left w:val="single" w:color="000000" w:sz="4" w:space="0"/>
              <w:bottom w:val="single" w:color="000000" w:sz="4" w:space="0"/>
              <w:right w:val="single" w:color="000000" w:sz="4" w:space="0"/>
            </w:tcBorders>
            <w:shd w:val="clear"/>
            <w:vAlign w:val="center"/>
          </w:tcPr>
          <w:p w14:paraId="6966E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第一阶段合计</w:t>
            </w:r>
          </w:p>
        </w:tc>
        <w:tc>
          <w:tcPr>
            <w:tcW w:w="745" w:type="dxa"/>
            <w:tcBorders>
              <w:top w:val="nil"/>
              <w:left w:val="single" w:color="000000" w:sz="4" w:space="0"/>
              <w:bottom w:val="single" w:color="000000" w:sz="4" w:space="0"/>
              <w:right w:val="single" w:color="000000" w:sz="4" w:space="0"/>
            </w:tcBorders>
            <w:shd w:val="clear"/>
            <w:vAlign w:val="center"/>
          </w:tcPr>
          <w:p w14:paraId="2362B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99" w:type="dxa"/>
            <w:tcBorders>
              <w:top w:val="single" w:color="000000" w:sz="4" w:space="0"/>
              <w:left w:val="single" w:color="000000" w:sz="4" w:space="0"/>
              <w:bottom w:val="single" w:color="000000" w:sz="4" w:space="0"/>
              <w:right w:val="single" w:color="000000" w:sz="4" w:space="0"/>
            </w:tcBorders>
            <w:shd w:val="clear"/>
            <w:vAlign w:val="center"/>
          </w:tcPr>
          <w:p w14:paraId="561C1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7021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 </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6DAA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 </w:t>
            </w:r>
          </w:p>
        </w:tc>
        <w:tc>
          <w:tcPr>
            <w:tcW w:w="562" w:type="dxa"/>
            <w:tcBorders>
              <w:top w:val="single" w:color="000000" w:sz="4" w:space="0"/>
              <w:left w:val="single" w:color="000000" w:sz="4" w:space="0"/>
              <w:bottom w:val="single" w:color="000000" w:sz="4" w:space="0"/>
              <w:right w:val="single" w:color="000000" w:sz="4" w:space="0"/>
            </w:tcBorders>
            <w:shd w:val="clear"/>
            <w:vAlign w:val="center"/>
          </w:tcPr>
          <w:p w14:paraId="61D5D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 </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E0C27D4">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E5C0488">
            <w:pPr>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vAlign w:val="center"/>
          </w:tcPr>
          <w:p w14:paraId="20EA9A01">
            <w:pPr>
              <w:jc w:val="center"/>
              <w:rPr>
                <w:rFonts w:hint="eastAsia" w:ascii="宋体" w:hAnsi="宋体" w:eastAsia="宋体" w:cs="宋体"/>
                <w:i w:val="0"/>
                <w:iCs w:val="0"/>
                <w:color w:val="000000"/>
                <w:sz w:val="21"/>
                <w:szCs w:val="21"/>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909722">
            <w:pPr>
              <w:jc w:val="center"/>
              <w:rPr>
                <w:rFonts w:hint="eastAsia" w:ascii="宋体" w:hAnsi="宋体" w:eastAsia="宋体" w:cs="宋体"/>
                <w:i w:val="0"/>
                <w:iCs w:val="0"/>
                <w:color w:val="000000"/>
                <w:sz w:val="21"/>
                <w:szCs w:val="21"/>
                <w:u w:val="none"/>
              </w:rPr>
            </w:pPr>
          </w:p>
        </w:tc>
      </w:tr>
    </w:tbl>
    <w:p w14:paraId="6F6CB670">
      <w:pPr>
        <w:rPr>
          <w:color w:val="auto"/>
          <w:highlight w:val="none"/>
        </w:rPr>
      </w:pPr>
    </w:p>
    <w:p w14:paraId="7503BB73">
      <w:pPr>
        <w:spacing w:line="39" w:lineRule="exact"/>
        <w:rPr>
          <w:rFonts w:eastAsia="Times New Roman"/>
          <w:color w:val="auto"/>
          <w:highlight w:val="none"/>
        </w:rPr>
      </w:pPr>
    </w:p>
    <w:p w14:paraId="61CAFA92">
      <w:pPr>
        <w:spacing w:line="480" w:lineRule="auto"/>
        <w:rPr>
          <w:rFonts w:ascii="宋体" w:hAnsi="宋体"/>
          <w:color w:val="auto"/>
          <w:sz w:val="24"/>
          <w:szCs w:val="24"/>
          <w:highlight w:val="none"/>
        </w:rPr>
      </w:pPr>
      <w:r>
        <w:rPr>
          <w:rFonts w:hint="eastAsia" w:ascii="宋体" w:hAnsi="宋体"/>
          <w:color w:val="auto"/>
          <w:sz w:val="24"/>
          <w:szCs w:val="24"/>
          <w:highlight w:val="none"/>
          <w:lang w:eastAsia="zh-CN"/>
        </w:rPr>
        <w:t>投 标 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（单位公章）</w:t>
      </w:r>
    </w:p>
    <w:p w14:paraId="5637AD62">
      <w:pPr>
        <w:spacing w:line="480" w:lineRule="auto"/>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或盖章</w:t>
      </w:r>
      <w:r>
        <w:rPr>
          <w:rFonts w:hint="eastAsia" w:ascii="宋体" w:hAnsi="宋体"/>
          <w:color w:val="auto"/>
          <w:sz w:val="24"/>
          <w:szCs w:val="24"/>
          <w:highlight w:val="none"/>
        </w:rPr>
        <w:t>）</w:t>
      </w:r>
    </w:p>
    <w:p w14:paraId="5F0EF500">
      <w:pPr>
        <w:spacing w:line="480" w:lineRule="auto"/>
        <w:rPr>
          <w:rFonts w:ascii="宋体" w:hAnsi="宋体"/>
          <w:color w:val="auto"/>
          <w:sz w:val="24"/>
          <w:szCs w:val="24"/>
          <w:highlight w:val="none"/>
        </w:rPr>
      </w:pPr>
      <w:r>
        <w:rPr>
          <w:rFonts w:hint="eastAsia" w:ascii="宋体" w:hAnsi="宋体"/>
          <w:color w:val="auto"/>
          <w:sz w:val="24"/>
          <w:szCs w:val="24"/>
          <w:highlight w:val="none"/>
        </w:rPr>
        <w:t>地</w:t>
      </w:r>
      <w:r>
        <w:rPr>
          <w:rFonts w:hint="eastAsia" w:ascii="宋体" w:hAnsi="宋体"/>
          <w:color w:val="auto"/>
          <w:sz w:val="24"/>
          <w:szCs w:val="24"/>
          <w:highlight w:val="none"/>
        </w:rPr>
        <w:tab/>
      </w:r>
      <w:r>
        <w:rPr>
          <w:rFonts w:hint="eastAsia" w:ascii="宋体" w:hAnsi="宋体"/>
          <w:color w:val="auto"/>
          <w:sz w:val="24"/>
          <w:szCs w:val="24"/>
          <w:highlight w:val="none"/>
        </w:rPr>
        <w:t>址：</w:t>
      </w:r>
      <w:r>
        <w:rPr>
          <w:rFonts w:hint="eastAsia" w:ascii="宋体" w:hAnsi="宋体"/>
          <w:color w:val="auto"/>
          <w:sz w:val="24"/>
          <w:szCs w:val="24"/>
          <w:highlight w:val="none"/>
          <w:u w:val="single"/>
        </w:rPr>
        <w:t xml:space="preserve">                                              </w:t>
      </w:r>
    </w:p>
    <w:p w14:paraId="6930F2D8">
      <w:pPr>
        <w:spacing w:line="237" w:lineRule="auto"/>
        <w:rPr>
          <w:rFonts w:hint="eastAsia" w:ascii="宋体" w:hAnsi="宋体"/>
          <w:color w:val="auto"/>
          <w:sz w:val="24"/>
          <w:szCs w:val="24"/>
          <w:highlight w:val="none"/>
        </w:rPr>
        <w:sectPr>
          <w:pgSz w:w="16840" w:h="11907" w:orient="landscape"/>
          <w:pgMar w:top="1531" w:right="1191" w:bottom="1361" w:left="1077" w:header="777" w:footer="652" w:gutter="0"/>
          <w:pgNumType w:fmt="decimal"/>
          <w:cols w:space="0" w:num="1"/>
          <w:rtlGutter w:val="0"/>
          <w:docGrid w:type="lines" w:linePitch="290" w:charSpace="0"/>
        </w:sect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bookmarkEnd w:id="259"/>
    <w:bookmarkEnd w:id="260"/>
    <w:bookmarkEnd w:id="261"/>
    <w:bookmarkEnd w:id="262"/>
    <w:bookmarkEnd w:id="263"/>
    <w:p w14:paraId="15D9F33A">
      <w:pPr>
        <w:rPr>
          <w:rFonts w:hint="eastAsia" w:eastAsia="黑体" w:cs="宋体"/>
          <w:color w:val="auto"/>
          <w:sz w:val="28"/>
          <w:highlight w:val="none"/>
        </w:rPr>
      </w:pPr>
      <w:bookmarkStart w:id="264" w:name="_Toc60537403"/>
    </w:p>
    <w:p w14:paraId="46D2D9B1">
      <w:pPr>
        <w:keepNext/>
        <w:keepLines/>
        <w:spacing w:before="100" w:line="400" w:lineRule="exact"/>
        <w:jc w:val="center"/>
        <w:outlineLvl w:val="1"/>
        <w:rPr>
          <w:rFonts w:ascii="宋体" w:hAnsi="宋体" w:cs="宋体"/>
          <w:color w:val="auto"/>
          <w:sz w:val="23"/>
          <w:szCs w:val="23"/>
          <w:highlight w:val="none"/>
        </w:rPr>
      </w:pPr>
      <w:r>
        <w:rPr>
          <w:rFonts w:hint="eastAsia" w:eastAsia="黑体" w:cs="宋体"/>
          <w:color w:val="auto"/>
          <w:sz w:val="28"/>
          <w:highlight w:val="none"/>
          <w:lang w:val="en-US" w:eastAsia="zh-CN"/>
        </w:rPr>
        <w:t>七</w:t>
      </w:r>
      <w:r>
        <w:rPr>
          <w:rFonts w:hint="eastAsia" w:eastAsia="黑体" w:cs="宋体"/>
          <w:color w:val="auto"/>
          <w:sz w:val="28"/>
          <w:highlight w:val="none"/>
        </w:rPr>
        <w:t>、资格证明材料</w:t>
      </w:r>
    </w:p>
    <w:p w14:paraId="0FBBE160">
      <w:pPr>
        <w:keepNext/>
        <w:keepLines/>
        <w:spacing w:line="400" w:lineRule="exact"/>
        <w:outlineLvl w:val="2"/>
        <w:rPr>
          <w:color w:val="auto"/>
          <w:highlight w:val="none"/>
        </w:rPr>
      </w:pPr>
      <w:bookmarkStart w:id="265" w:name="_Toc13834"/>
      <w:bookmarkStart w:id="266" w:name="_Toc152045808"/>
      <w:bookmarkStart w:id="267" w:name="_Toc1053"/>
      <w:bookmarkStart w:id="268" w:name="_Toc152042597"/>
      <w:bookmarkStart w:id="269" w:name="_Toc144974876"/>
      <w:r>
        <w:rPr>
          <w:rFonts w:hint="eastAsia" w:ascii="宋体" w:hAnsi="宋体" w:cs="宋体"/>
          <w:color w:val="auto"/>
          <w:sz w:val="24"/>
          <w:szCs w:val="23"/>
          <w:highlight w:val="none"/>
        </w:rPr>
        <w:t>（一）</w:t>
      </w:r>
      <w:r>
        <w:rPr>
          <w:rFonts w:hint="eastAsia" w:ascii="宋体" w:hAnsi="宋体" w:cs="宋体"/>
          <w:color w:val="auto"/>
          <w:sz w:val="24"/>
          <w:szCs w:val="23"/>
          <w:highlight w:val="none"/>
          <w:lang w:eastAsia="zh-CN"/>
        </w:rPr>
        <w:t>投标人</w:t>
      </w:r>
      <w:r>
        <w:rPr>
          <w:rFonts w:hint="eastAsia" w:ascii="宋体" w:hAnsi="宋体" w:cs="宋体"/>
          <w:color w:val="auto"/>
          <w:sz w:val="24"/>
          <w:szCs w:val="23"/>
          <w:highlight w:val="none"/>
        </w:rPr>
        <w:t>基本情况表</w:t>
      </w:r>
      <w:bookmarkEnd w:id="265"/>
      <w:bookmarkEnd w:id="266"/>
      <w:bookmarkEnd w:id="267"/>
      <w:bookmarkEnd w:id="268"/>
      <w:bookmarkEnd w:id="269"/>
    </w:p>
    <w:tbl>
      <w:tblPr>
        <w:tblStyle w:val="45"/>
        <w:tblW w:w="9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2"/>
        <w:gridCol w:w="941"/>
        <w:gridCol w:w="1077"/>
        <w:gridCol w:w="1426"/>
        <w:gridCol w:w="450"/>
        <w:gridCol w:w="818"/>
        <w:gridCol w:w="1026"/>
        <w:gridCol w:w="24"/>
        <w:gridCol w:w="1411"/>
      </w:tblGrid>
      <w:tr w14:paraId="7E63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2142" w:type="dxa"/>
            <w:tcBorders>
              <w:top w:val="single" w:color="000000" w:sz="4" w:space="0"/>
              <w:left w:val="single" w:color="000000" w:sz="4" w:space="0"/>
              <w:bottom w:val="single" w:color="000000" w:sz="4" w:space="0"/>
              <w:right w:val="single" w:color="000000" w:sz="4" w:space="0"/>
            </w:tcBorders>
          </w:tcPr>
          <w:p w14:paraId="2059561B">
            <w:pPr>
              <w:pStyle w:val="198"/>
              <w:spacing w:before="107"/>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名称</w:t>
            </w:r>
          </w:p>
        </w:tc>
        <w:tc>
          <w:tcPr>
            <w:tcW w:w="7173" w:type="dxa"/>
            <w:gridSpan w:val="8"/>
            <w:tcBorders>
              <w:top w:val="single" w:color="000000" w:sz="4" w:space="0"/>
              <w:left w:val="single" w:color="000000" w:sz="4" w:space="0"/>
              <w:bottom w:val="single" w:color="000000" w:sz="4" w:space="0"/>
              <w:right w:val="single" w:color="000000" w:sz="4" w:space="0"/>
            </w:tcBorders>
          </w:tcPr>
          <w:p w14:paraId="221535F6">
            <w:pPr>
              <w:rPr>
                <w:color w:val="auto"/>
                <w:sz w:val="24"/>
                <w:highlight w:val="none"/>
              </w:rPr>
            </w:pPr>
          </w:p>
        </w:tc>
      </w:tr>
      <w:tr w14:paraId="22B4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rPr>
        <w:tc>
          <w:tcPr>
            <w:tcW w:w="2142" w:type="dxa"/>
            <w:tcBorders>
              <w:top w:val="single" w:color="000000" w:sz="4" w:space="0"/>
              <w:left w:val="single" w:color="000000" w:sz="4" w:space="0"/>
              <w:bottom w:val="single" w:color="000000" w:sz="4" w:space="0"/>
              <w:right w:val="single" w:color="000000" w:sz="4" w:space="0"/>
            </w:tcBorders>
          </w:tcPr>
          <w:p w14:paraId="56903374">
            <w:pPr>
              <w:pStyle w:val="198"/>
              <w:spacing w:before="107"/>
              <w:rPr>
                <w:color w:val="auto"/>
                <w:sz w:val="24"/>
                <w:szCs w:val="24"/>
                <w:highlight w:val="none"/>
              </w:rPr>
            </w:pPr>
            <w:r>
              <w:rPr>
                <w:rFonts w:hint="eastAsia"/>
                <w:color w:val="auto"/>
                <w:sz w:val="24"/>
                <w:szCs w:val="24"/>
                <w:highlight w:val="none"/>
              </w:rPr>
              <w:t>注册地址</w:t>
            </w:r>
          </w:p>
        </w:tc>
        <w:tc>
          <w:tcPr>
            <w:tcW w:w="3444" w:type="dxa"/>
            <w:gridSpan w:val="3"/>
            <w:tcBorders>
              <w:top w:val="single" w:color="000000" w:sz="4" w:space="0"/>
              <w:left w:val="single" w:color="000000" w:sz="4" w:space="0"/>
              <w:bottom w:val="single" w:color="000000" w:sz="4" w:space="0"/>
              <w:right w:val="single" w:color="000000" w:sz="4" w:space="0"/>
            </w:tcBorders>
          </w:tcPr>
          <w:p w14:paraId="1F37DEAE">
            <w:pPr>
              <w:rPr>
                <w:color w:val="auto"/>
                <w:sz w:val="24"/>
                <w:highlight w:val="none"/>
              </w:rPr>
            </w:pPr>
          </w:p>
        </w:tc>
        <w:tc>
          <w:tcPr>
            <w:tcW w:w="1268" w:type="dxa"/>
            <w:gridSpan w:val="2"/>
            <w:tcBorders>
              <w:top w:val="single" w:color="000000" w:sz="4" w:space="0"/>
              <w:left w:val="single" w:color="000000" w:sz="4" w:space="0"/>
              <w:bottom w:val="single" w:color="000000" w:sz="4" w:space="0"/>
              <w:right w:val="single" w:color="000000" w:sz="4" w:space="0"/>
            </w:tcBorders>
          </w:tcPr>
          <w:p w14:paraId="2AE81C3C">
            <w:pPr>
              <w:pStyle w:val="198"/>
              <w:spacing w:before="107"/>
              <w:rPr>
                <w:color w:val="auto"/>
                <w:sz w:val="24"/>
                <w:szCs w:val="24"/>
                <w:highlight w:val="none"/>
              </w:rPr>
            </w:pPr>
            <w:r>
              <w:rPr>
                <w:rFonts w:hint="eastAsia"/>
                <w:color w:val="auto"/>
                <w:sz w:val="24"/>
                <w:szCs w:val="24"/>
                <w:highlight w:val="none"/>
              </w:rPr>
              <w:t>邮政编码</w:t>
            </w:r>
          </w:p>
        </w:tc>
        <w:tc>
          <w:tcPr>
            <w:tcW w:w="2461" w:type="dxa"/>
            <w:gridSpan w:val="3"/>
            <w:tcBorders>
              <w:top w:val="single" w:color="000000" w:sz="4" w:space="0"/>
              <w:left w:val="single" w:color="000000" w:sz="4" w:space="0"/>
              <w:bottom w:val="single" w:color="000000" w:sz="4" w:space="0"/>
              <w:right w:val="single" w:color="000000" w:sz="4" w:space="0"/>
            </w:tcBorders>
          </w:tcPr>
          <w:p w14:paraId="16FA59C9">
            <w:pPr>
              <w:rPr>
                <w:color w:val="auto"/>
                <w:sz w:val="24"/>
                <w:highlight w:val="none"/>
              </w:rPr>
            </w:pPr>
          </w:p>
        </w:tc>
      </w:tr>
      <w:tr w14:paraId="4D22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2142" w:type="dxa"/>
            <w:vMerge w:val="restart"/>
            <w:tcBorders>
              <w:top w:val="single" w:color="000000" w:sz="4" w:space="0"/>
              <w:left w:val="single" w:color="000000" w:sz="4" w:space="0"/>
              <w:bottom w:val="single" w:color="000000" w:sz="4" w:space="0"/>
              <w:right w:val="single" w:color="000000" w:sz="4" w:space="0"/>
            </w:tcBorders>
          </w:tcPr>
          <w:p w14:paraId="69464A23">
            <w:pPr>
              <w:pStyle w:val="198"/>
              <w:spacing w:before="6"/>
              <w:rPr>
                <w:color w:val="auto"/>
                <w:sz w:val="24"/>
                <w:szCs w:val="24"/>
                <w:highlight w:val="none"/>
              </w:rPr>
            </w:pPr>
          </w:p>
          <w:p w14:paraId="0209D6F5">
            <w:pPr>
              <w:pStyle w:val="198"/>
              <w:rPr>
                <w:color w:val="auto"/>
                <w:sz w:val="24"/>
                <w:szCs w:val="24"/>
                <w:highlight w:val="none"/>
              </w:rPr>
            </w:pPr>
            <w:r>
              <w:rPr>
                <w:rFonts w:hint="eastAsia"/>
                <w:color w:val="auto"/>
                <w:sz w:val="24"/>
                <w:szCs w:val="24"/>
                <w:highlight w:val="none"/>
              </w:rPr>
              <w:t>联系方式</w:t>
            </w:r>
          </w:p>
        </w:tc>
        <w:tc>
          <w:tcPr>
            <w:tcW w:w="941" w:type="dxa"/>
            <w:tcBorders>
              <w:top w:val="single" w:color="000000" w:sz="4" w:space="0"/>
              <w:left w:val="single" w:color="000000" w:sz="4" w:space="0"/>
              <w:bottom w:val="single" w:color="000000" w:sz="4" w:space="0"/>
              <w:right w:val="single" w:color="000000" w:sz="4" w:space="0"/>
            </w:tcBorders>
          </w:tcPr>
          <w:p w14:paraId="7E62A996">
            <w:pPr>
              <w:pStyle w:val="198"/>
              <w:spacing w:before="107"/>
              <w:rPr>
                <w:color w:val="auto"/>
                <w:sz w:val="24"/>
                <w:szCs w:val="24"/>
                <w:highlight w:val="none"/>
              </w:rPr>
            </w:pPr>
            <w:r>
              <w:rPr>
                <w:rFonts w:hint="eastAsia"/>
                <w:color w:val="auto"/>
                <w:sz w:val="24"/>
                <w:szCs w:val="24"/>
                <w:highlight w:val="none"/>
              </w:rPr>
              <w:t>联系人</w:t>
            </w:r>
          </w:p>
        </w:tc>
        <w:tc>
          <w:tcPr>
            <w:tcW w:w="2503" w:type="dxa"/>
            <w:gridSpan w:val="2"/>
            <w:tcBorders>
              <w:top w:val="single" w:color="000000" w:sz="4" w:space="0"/>
              <w:left w:val="single" w:color="000000" w:sz="4" w:space="0"/>
              <w:bottom w:val="single" w:color="000000" w:sz="4" w:space="0"/>
              <w:right w:val="single" w:color="000000" w:sz="4" w:space="0"/>
            </w:tcBorders>
          </w:tcPr>
          <w:p w14:paraId="2011CAFD">
            <w:pPr>
              <w:rPr>
                <w:color w:val="auto"/>
                <w:sz w:val="24"/>
                <w:highlight w:val="none"/>
              </w:rPr>
            </w:pPr>
          </w:p>
        </w:tc>
        <w:tc>
          <w:tcPr>
            <w:tcW w:w="1268" w:type="dxa"/>
            <w:gridSpan w:val="2"/>
            <w:tcBorders>
              <w:top w:val="single" w:color="000000" w:sz="4" w:space="0"/>
              <w:left w:val="single" w:color="000000" w:sz="4" w:space="0"/>
              <w:bottom w:val="single" w:color="000000" w:sz="4" w:space="0"/>
              <w:right w:val="single" w:color="000000" w:sz="4" w:space="0"/>
            </w:tcBorders>
          </w:tcPr>
          <w:p w14:paraId="23D88EDF">
            <w:pPr>
              <w:pStyle w:val="198"/>
              <w:spacing w:before="107"/>
              <w:rPr>
                <w:color w:val="auto"/>
                <w:sz w:val="24"/>
                <w:szCs w:val="24"/>
                <w:highlight w:val="none"/>
              </w:rPr>
            </w:pPr>
            <w:r>
              <w:rPr>
                <w:rFonts w:hint="eastAsia"/>
                <w:color w:val="auto"/>
                <w:sz w:val="24"/>
                <w:szCs w:val="24"/>
                <w:highlight w:val="none"/>
              </w:rPr>
              <w:t>电 话</w:t>
            </w:r>
          </w:p>
        </w:tc>
        <w:tc>
          <w:tcPr>
            <w:tcW w:w="2461" w:type="dxa"/>
            <w:gridSpan w:val="3"/>
            <w:tcBorders>
              <w:top w:val="single" w:color="000000" w:sz="4" w:space="0"/>
              <w:left w:val="single" w:color="000000" w:sz="4" w:space="0"/>
              <w:bottom w:val="single" w:color="000000" w:sz="4" w:space="0"/>
              <w:right w:val="single" w:color="000000" w:sz="4" w:space="0"/>
            </w:tcBorders>
          </w:tcPr>
          <w:p w14:paraId="60AF9959">
            <w:pPr>
              <w:rPr>
                <w:color w:val="auto"/>
                <w:sz w:val="24"/>
                <w:highlight w:val="none"/>
              </w:rPr>
            </w:pPr>
          </w:p>
        </w:tc>
      </w:tr>
      <w:tr w14:paraId="2B938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2142" w:type="dxa"/>
            <w:vMerge w:val="continue"/>
            <w:tcBorders>
              <w:top w:val="single" w:color="000000" w:sz="4" w:space="0"/>
              <w:left w:val="single" w:color="000000" w:sz="4" w:space="0"/>
              <w:bottom w:val="single" w:color="000000" w:sz="4" w:space="0"/>
              <w:right w:val="single" w:color="000000" w:sz="4" w:space="0"/>
            </w:tcBorders>
            <w:vAlign w:val="center"/>
          </w:tcPr>
          <w:p w14:paraId="3D812B50">
            <w:pPr>
              <w:widowControl/>
              <w:jc w:val="center"/>
              <w:rPr>
                <w:rFonts w:ascii="宋体" w:hAnsi="宋体" w:cs="宋体"/>
                <w:color w:val="auto"/>
                <w:kern w:val="0"/>
                <w:sz w:val="24"/>
                <w:highlight w:val="none"/>
                <w:lang w:eastAsia="en-US"/>
              </w:rPr>
            </w:pPr>
          </w:p>
        </w:tc>
        <w:tc>
          <w:tcPr>
            <w:tcW w:w="941" w:type="dxa"/>
            <w:tcBorders>
              <w:top w:val="single" w:color="000000" w:sz="4" w:space="0"/>
              <w:left w:val="single" w:color="000000" w:sz="4" w:space="0"/>
              <w:bottom w:val="single" w:color="000000" w:sz="4" w:space="0"/>
              <w:right w:val="single" w:color="000000" w:sz="4" w:space="0"/>
            </w:tcBorders>
          </w:tcPr>
          <w:p w14:paraId="757CB698">
            <w:pPr>
              <w:pStyle w:val="198"/>
              <w:tabs>
                <w:tab w:val="left" w:pos="422"/>
              </w:tabs>
              <w:spacing w:before="108"/>
              <w:rPr>
                <w:color w:val="auto"/>
                <w:sz w:val="24"/>
                <w:szCs w:val="24"/>
                <w:highlight w:val="none"/>
              </w:rPr>
            </w:pPr>
            <w:r>
              <w:rPr>
                <w:rFonts w:hint="eastAsia"/>
                <w:color w:val="auto"/>
                <w:sz w:val="24"/>
                <w:szCs w:val="24"/>
                <w:highlight w:val="none"/>
              </w:rPr>
              <w:t>传</w:t>
            </w:r>
            <w:r>
              <w:rPr>
                <w:rFonts w:hint="eastAsia"/>
                <w:color w:val="auto"/>
                <w:sz w:val="24"/>
                <w:szCs w:val="24"/>
                <w:highlight w:val="none"/>
              </w:rPr>
              <w:tab/>
            </w:r>
            <w:r>
              <w:rPr>
                <w:rFonts w:hint="eastAsia"/>
                <w:color w:val="auto"/>
                <w:sz w:val="24"/>
                <w:szCs w:val="24"/>
                <w:highlight w:val="none"/>
              </w:rPr>
              <w:t>真</w:t>
            </w:r>
          </w:p>
        </w:tc>
        <w:tc>
          <w:tcPr>
            <w:tcW w:w="2503" w:type="dxa"/>
            <w:gridSpan w:val="2"/>
            <w:tcBorders>
              <w:top w:val="single" w:color="000000" w:sz="4" w:space="0"/>
              <w:left w:val="single" w:color="000000" w:sz="4" w:space="0"/>
              <w:bottom w:val="single" w:color="000000" w:sz="4" w:space="0"/>
              <w:right w:val="single" w:color="000000" w:sz="4" w:space="0"/>
            </w:tcBorders>
          </w:tcPr>
          <w:p w14:paraId="6DEBCB6A">
            <w:pPr>
              <w:rPr>
                <w:color w:val="auto"/>
                <w:sz w:val="24"/>
                <w:highlight w:val="none"/>
              </w:rPr>
            </w:pPr>
          </w:p>
        </w:tc>
        <w:tc>
          <w:tcPr>
            <w:tcW w:w="1268" w:type="dxa"/>
            <w:gridSpan w:val="2"/>
            <w:tcBorders>
              <w:top w:val="single" w:color="000000" w:sz="4" w:space="0"/>
              <w:left w:val="single" w:color="000000" w:sz="4" w:space="0"/>
              <w:bottom w:val="single" w:color="000000" w:sz="4" w:space="0"/>
              <w:right w:val="single" w:color="000000" w:sz="4" w:space="0"/>
            </w:tcBorders>
          </w:tcPr>
          <w:p w14:paraId="48646605">
            <w:pPr>
              <w:pStyle w:val="198"/>
              <w:spacing w:before="108"/>
              <w:rPr>
                <w:color w:val="auto"/>
                <w:sz w:val="24"/>
                <w:szCs w:val="24"/>
                <w:highlight w:val="none"/>
              </w:rPr>
            </w:pPr>
            <w:r>
              <w:rPr>
                <w:rFonts w:hint="eastAsia"/>
                <w:color w:val="auto"/>
                <w:sz w:val="24"/>
                <w:szCs w:val="24"/>
                <w:highlight w:val="none"/>
              </w:rPr>
              <w:t>网 址</w:t>
            </w:r>
          </w:p>
        </w:tc>
        <w:tc>
          <w:tcPr>
            <w:tcW w:w="2461" w:type="dxa"/>
            <w:gridSpan w:val="3"/>
            <w:tcBorders>
              <w:top w:val="single" w:color="000000" w:sz="4" w:space="0"/>
              <w:left w:val="single" w:color="000000" w:sz="4" w:space="0"/>
              <w:bottom w:val="single" w:color="000000" w:sz="4" w:space="0"/>
              <w:right w:val="single" w:color="000000" w:sz="4" w:space="0"/>
            </w:tcBorders>
          </w:tcPr>
          <w:p w14:paraId="12983C61">
            <w:pPr>
              <w:rPr>
                <w:color w:val="auto"/>
                <w:sz w:val="24"/>
                <w:highlight w:val="none"/>
              </w:rPr>
            </w:pPr>
          </w:p>
        </w:tc>
      </w:tr>
      <w:tr w14:paraId="45A4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2142" w:type="dxa"/>
            <w:tcBorders>
              <w:top w:val="single" w:color="000000" w:sz="4" w:space="0"/>
              <w:left w:val="single" w:color="000000" w:sz="4" w:space="0"/>
              <w:bottom w:val="single" w:color="000000" w:sz="4" w:space="0"/>
              <w:right w:val="single" w:color="000000" w:sz="4" w:space="0"/>
            </w:tcBorders>
          </w:tcPr>
          <w:p w14:paraId="397A61C3">
            <w:pPr>
              <w:pStyle w:val="198"/>
              <w:spacing w:before="107"/>
              <w:rPr>
                <w:color w:val="auto"/>
                <w:sz w:val="24"/>
                <w:szCs w:val="24"/>
                <w:highlight w:val="none"/>
              </w:rPr>
            </w:pPr>
            <w:r>
              <w:rPr>
                <w:rFonts w:hint="eastAsia"/>
                <w:color w:val="auto"/>
                <w:sz w:val="24"/>
                <w:szCs w:val="24"/>
                <w:highlight w:val="none"/>
              </w:rPr>
              <w:t>法定代表人</w:t>
            </w:r>
          </w:p>
        </w:tc>
        <w:tc>
          <w:tcPr>
            <w:tcW w:w="941" w:type="dxa"/>
            <w:tcBorders>
              <w:top w:val="single" w:color="000000" w:sz="4" w:space="0"/>
              <w:left w:val="single" w:color="000000" w:sz="4" w:space="0"/>
              <w:bottom w:val="single" w:color="000000" w:sz="4" w:space="0"/>
              <w:right w:val="single" w:color="000000" w:sz="4" w:space="0"/>
            </w:tcBorders>
          </w:tcPr>
          <w:p w14:paraId="0F6B8B9A">
            <w:pPr>
              <w:pStyle w:val="198"/>
              <w:spacing w:before="107"/>
              <w:rPr>
                <w:color w:val="auto"/>
                <w:sz w:val="24"/>
                <w:szCs w:val="24"/>
                <w:highlight w:val="none"/>
              </w:rPr>
            </w:pPr>
            <w:r>
              <w:rPr>
                <w:rFonts w:hint="eastAsia"/>
                <w:color w:val="auto"/>
                <w:sz w:val="24"/>
                <w:szCs w:val="24"/>
                <w:highlight w:val="none"/>
              </w:rPr>
              <w:t>姓名</w:t>
            </w:r>
          </w:p>
        </w:tc>
        <w:tc>
          <w:tcPr>
            <w:tcW w:w="1077" w:type="dxa"/>
            <w:tcBorders>
              <w:top w:val="single" w:color="000000" w:sz="4" w:space="0"/>
              <w:left w:val="single" w:color="000000" w:sz="4" w:space="0"/>
              <w:bottom w:val="single" w:color="000000" w:sz="4" w:space="0"/>
              <w:right w:val="single" w:color="000000" w:sz="4" w:space="0"/>
            </w:tcBorders>
          </w:tcPr>
          <w:p w14:paraId="35611083">
            <w:pPr>
              <w:rPr>
                <w:color w:val="auto"/>
                <w:sz w:val="24"/>
                <w:highlight w:val="none"/>
              </w:rPr>
            </w:pPr>
          </w:p>
        </w:tc>
        <w:tc>
          <w:tcPr>
            <w:tcW w:w="1426" w:type="dxa"/>
            <w:tcBorders>
              <w:top w:val="single" w:color="000000" w:sz="4" w:space="0"/>
              <w:left w:val="single" w:color="000000" w:sz="4" w:space="0"/>
              <w:bottom w:val="single" w:color="000000" w:sz="4" w:space="0"/>
              <w:right w:val="single" w:color="000000" w:sz="4" w:space="0"/>
            </w:tcBorders>
          </w:tcPr>
          <w:p w14:paraId="204DFD85">
            <w:pPr>
              <w:pStyle w:val="198"/>
              <w:spacing w:before="107"/>
              <w:ind w:left="218"/>
              <w:rPr>
                <w:color w:val="auto"/>
                <w:sz w:val="24"/>
                <w:szCs w:val="24"/>
                <w:highlight w:val="none"/>
              </w:rPr>
            </w:pPr>
            <w:r>
              <w:rPr>
                <w:rFonts w:hint="eastAsia"/>
                <w:color w:val="auto"/>
                <w:sz w:val="24"/>
                <w:szCs w:val="24"/>
                <w:highlight w:val="none"/>
              </w:rPr>
              <w:t>技术职称</w:t>
            </w:r>
          </w:p>
        </w:tc>
        <w:tc>
          <w:tcPr>
            <w:tcW w:w="1268" w:type="dxa"/>
            <w:gridSpan w:val="2"/>
            <w:tcBorders>
              <w:top w:val="single" w:color="000000" w:sz="4" w:space="0"/>
              <w:left w:val="single" w:color="000000" w:sz="4" w:space="0"/>
              <w:bottom w:val="single" w:color="000000" w:sz="4" w:space="0"/>
              <w:right w:val="single" w:color="000000" w:sz="4" w:space="0"/>
            </w:tcBorders>
          </w:tcPr>
          <w:p w14:paraId="793DF6CB">
            <w:pPr>
              <w:rPr>
                <w:color w:val="auto"/>
                <w:sz w:val="24"/>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tcPr>
          <w:p w14:paraId="0FCC8321">
            <w:pPr>
              <w:pStyle w:val="198"/>
              <w:spacing w:before="107"/>
              <w:rPr>
                <w:color w:val="auto"/>
                <w:sz w:val="24"/>
                <w:szCs w:val="24"/>
                <w:highlight w:val="none"/>
              </w:rPr>
            </w:pPr>
            <w:r>
              <w:rPr>
                <w:rFonts w:hint="eastAsia"/>
                <w:color w:val="auto"/>
                <w:sz w:val="24"/>
                <w:szCs w:val="24"/>
                <w:highlight w:val="none"/>
              </w:rPr>
              <w:t>电话</w:t>
            </w:r>
          </w:p>
        </w:tc>
        <w:tc>
          <w:tcPr>
            <w:tcW w:w="1411" w:type="dxa"/>
            <w:tcBorders>
              <w:top w:val="single" w:color="000000" w:sz="4" w:space="0"/>
              <w:left w:val="single" w:color="000000" w:sz="4" w:space="0"/>
              <w:bottom w:val="single" w:color="000000" w:sz="4" w:space="0"/>
              <w:right w:val="single" w:color="000000" w:sz="4" w:space="0"/>
            </w:tcBorders>
          </w:tcPr>
          <w:p w14:paraId="755F52AF">
            <w:pPr>
              <w:rPr>
                <w:color w:val="auto"/>
                <w:sz w:val="24"/>
                <w:highlight w:val="none"/>
              </w:rPr>
            </w:pPr>
          </w:p>
        </w:tc>
      </w:tr>
      <w:tr w14:paraId="655D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2142" w:type="dxa"/>
            <w:tcBorders>
              <w:top w:val="single" w:color="000000" w:sz="4" w:space="0"/>
              <w:left w:val="single" w:color="000000" w:sz="4" w:space="0"/>
              <w:bottom w:val="single" w:color="000000" w:sz="4" w:space="0"/>
              <w:right w:val="single" w:color="000000" w:sz="4" w:space="0"/>
            </w:tcBorders>
          </w:tcPr>
          <w:p w14:paraId="3277D5EB">
            <w:pPr>
              <w:pStyle w:val="198"/>
              <w:spacing w:before="107"/>
              <w:rPr>
                <w:color w:val="auto"/>
                <w:sz w:val="24"/>
                <w:szCs w:val="24"/>
                <w:highlight w:val="none"/>
              </w:rPr>
            </w:pPr>
            <w:r>
              <w:rPr>
                <w:rFonts w:hint="eastAsia"/>
                <w:color w:val="auto"/>
                <w:sz w:val="24"/>
                <w:szCs w:val="24"/>
                <w:highlight w:val="none"/>
              </w:rPr>
              <w:t>技术负责人</w:t>
            </w:r>
          </w:p>
        </w:tc>
        <w:tc>
          <w:tcPr>
            <w:tcW w:w="941" w:type="dxa"/>
            <w:tcBorders>
              <w:top w:val="single" w:color="000000" w:sz="4" w:space="0"/>
              <w:left w:val="single" w:color="000000" w:sz="4" w:space="0"/>
              <w:bottom w:val="single" w:color="000000" w:sz="4" w:space="0"/>
              <w:right w:val="single" w:color="000000" w:sz="4" w:space="0"/>
            </w:tcBorders>
          </w:tcPr>
          <w:p w14:paraId="0C206BB9">
            <w:pPr>
              <w:pStyle w:val="198"/>
              <w:spacing w:before="107"/>
              <w:rPr>
                <w:color w:val="auto"/>
                <w:sz w:val="24"/>
                <w:szCs w:val="24"/>
                <w:highlight w:val="none"/>
              </w:rPr>
            </w:pPr>
            <w:r>
              <w:rPr>
                <w:rFonts w:hint="eastAsia"/>
                <w:color w:val="auto"/>
                <w:sz w:val="24"/>
                <w:szCs w:val="24"/>
                <w:highlight w:val="none"/>
              </w:rPr>
              <w:t>姓名</w:t>
            </w:r>
          </w:p>
        </w:tc>
        <w:tc>
          <w:tcPr>
            <w:tcW w:w="1077" w:type="dxa"/>
            <w:tcBorders>
              <w:top w:val="single" w:color="000000" w:sz="4" w:space="0"/>
              <w:left w:val="single" w:color="000000" w:sz="4" w:space="0"/>
              <w:bottom w:val="single" w:color="000000" w:sz="4" w:space="0"/>
              <w:right w:val="single" w:color="000000" w:sz="4" w:space="0"/>
            </w:tcBorders>
          </w:tcPr>
          <w:p w14:paraId="1E1A9243">
            <w:pPr>
              <w:rPr>
                <w:color w:val="auto"/>
                <w:sz w:val="24"/>
                <w:highlight w:val="none"/>
              </w:rPr>
            </w:pPr>
          </w:p>
        </w:tc>
        <w:tc>
          <w:tcPr>
            <w:tcW w:w="1426" w:type="dxa"/>
            <w:tcBorders>
              <w:top w:val="single" w:color="000000" w:sz="4" w:space="0"/>
              <w:left w:val="single" w:color="000000" w:sz="4" w:space="0"/>
              <w:bottom w:val="single" w:color="000000" w:sz="4" w:space="0"/>
              <w:right w:val="single" w:color="000000" w:sz="4" w:space="0"/>
            </w:tcBorders>
          </w:tcPr>
          <w:p w14:paraId="186BA7DF">
            <w:pPr>
              <w:pStyle w:val="198"/>
              <w:spacing w:before="107"/>
              <w:ind w:left="218"/>
              <w:rPr>
                <w:color w:val="auto"/>
                <w:sz w:val="24"/>
                <w:szCs w:val="24"/>
                <w:highlight w:val="none"/>
              </w:rPr>
            </w:pPr>
            <w:r>
              <w:rPr>
                <w:rFonts w:hint="eastAsia"/>
                <w:color w:val="auto"/>
                <w:sz w:val="24"/>
                <w:szCs w:val="24"/>
                <w:highlight w:val="none"/>
              </w:rPr>
              <w:t>技术职称</w:t>
            </w:r>
          </w:p>
        </w:tc>
        <w:tc>
          <w:tcPr>
            <w:tcW w:w="1268" w:type="dxa"/>
            <w:gridSpan w:val="2"/>
            <w:tcBorders>
              <w:top w:val="single" w:color="000000" w:sz="4" w:space="0"/>
              <w:left w:val="single" w:color="000000" w:sz="4" w:space="0"/>
              <w:bottom w:val="single" w:color="000000" w:sz="4" w:space="0"/>
              <w:right w:val="single" w:color="000000" w:sz="4" w:space="0"/>
            </w:tcBorders>
          </w:tcPr>
          <w:p w14:paraId="6881A767">
            <w:pPr>
              <w:rPr>
                <w:color w:val="auto"/>
                <w:sz w:val="24"/>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tcPr>
          <w:p w14:paraId="38E81A6B">
            <w:pPr>
              <w:pStyle w:val="198"/>
              <w:spacing w:before="107"/>
              <w:rPr>
                <w:color w:val="auto"/>
                <w:sz w:val="24"/>
                <w:szCs w:val="24"/>
                <w:highlight w:val="none"/>
              </w:rPr>
            </w:pPr>
            <w:r>
              <w:rPr>
                <w:rFonts w:hint="eastAsia"/>
                <w:color w:val="auto"/>
                <w:sz w:val="24"/>
                <w:szCs w:val="24"/>
                <w:highlight w:val="none"/>
              </w:rPr>
              <w:t>电话</w:t>
            </w:r>
          </w:p>
        </w:tc>
        <w:tc>
          <w:tcPr>
            <w:tcW w:w="1411" w:type="dxa"/>
            <w:tcBorders>
              <w:top w:val="single" w:color="000000" w:sz="4" w:space="0"/>
              <w:left w:val="single" w:color="000000" w:sz="4" w:space="0"/>
              <w:bottom w:val="single" w:color="000000" w:sz="4" w:space="0"/>
              <w:right w:val="single" w:color="000000" w:sz="4" w:space="0"/>
            </w:tcBorders>
          </w:tcPr>
          <w:p w14:paraId="6A1EB331">
            <w:pPr>
              <w:rPr>
                <w:color w:val="auto"/>
                <w:sz w:val="24"/>
                <w:highlight w:val="none"/>
              </w:rPr>
            </w:pPr>
          </w:p>
        </w:tc>
      </w:tr>
      <w:tr w14:paraId="2C606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trPr>
        <w:tc>
          <w:tcPr>
            <w:tcW w:w="2142" w:type="dxa"/>
            <w:tcBorders>
              <w:top w:val="single" w:color="000000" w:sz="4" w:space="0"/>
              <w:left w:val="single" w:color="000000" w:sz="4" w:space="0"/>
              <w:bottom w:val="single" w:color="000000" w:sz="4" w:space="0"/>
              <w:right w:val="single" w:color="000000" w:sz="4" w:space="0"/>
            </w:tcBorders>
          </w:tcPr>
          <w:p w14:paraId="4A4633CF">
            <w:pPr>
              <w:pStyle w:val="198"/>
              <w:spacing w:before="107"/>
              <w:ind w:right="156"/>
              <w:rPr>
                <w:color w:val="auto"/>
                <w:sz w:val="24"/>
                <w:szCs w:val="24"/>
                <w:highlight w:val="none"/>
              </w:rPr>
            </w:pPr>
            <w:r>
              <w:rPr>
                <w:rFonts w:hint="eastAsia"/>
                <w:color w:val="auto"/>
                <w:sz w:val="24"/>
                <w:szCs w:val="24"/>
                <w:highlight w:val="none"/>
              </w:rPr>
              <w:t>质量管理体系证书（如有）</w:t>
            </w:r>
          </w:p>
        </w:tc>
        <w:tc>
          <w:tcPr>
            <w:tcW w:w="7173" w:type="dxa"/>
            <w:gridSpan w:val="8"/>
            <w:tcBorders>
              <w:top w:val="single" w:color="000000" w:sz="4" w:space="0"/>
              <w:left w:val="single" w:color="000000" w:sz="4" w:space="0"/>
              <w:bottom w:val="single" w:color="000000" w:sz="4" w:space="0"/>
              <w:right w:val="single" w:color="000000" w:sz="4" w:space="0"/>
            </w:tcBorders>
          </w:tcPr>
          <w:p w14:paraId="5AB3A4FF">
            <w:pPr>
              <w:pStyle w:val="198"/>
              <w:spacing w:before="1"/>
              <w:rPr>
                <w:color w:val="auto"/>
                <w:sz w:val="24"/>
                <w:szCs w:val="24"/>
                <w:highlight w:val="none"/>
              </w:rPr>
            </w:pPr>
          </w:p>
          <w:p w14:paraId="0D1FD388">
            <w:pPr>
              <w:pStyle w:val="198"/>
              <w:tabs>
                <w:tab w:val="left" w:pos="3785"/>
                <w:tab w:val="left" w:pos="5045"/>
              </w:tabs>
              <w:ind w:left="1054"/>
              <w:rPr>
                <w:color w:val="auto"/>
                <w:sz w:val="24"/>
                <w:szCs w:val="24"/>
                <w:highlight w:val="none"/>
              </w:rPr>
            </w:pPr>
            <w:r>
              <w:rPr>
                <w:rFonts w:hint="eastAsia"/>
                <w:color w:val="auto"/>
                <w:sz w:val="24"/>
                <w:szCs w:val="24"/>
                <w:highlight w:val="none"/>
              </w:rPr>
              <w:t>类型：</w:t>
            </w:r>
            <w:r>
              <w:rPr>
                <w:rFonts w:hint="eastAsia"/>
                <w:color w:val="auto"/>
                <w:sz w:val="24"/>
                <w:szCs w:val="24"/>
                <w:highlight w:val="none"/>
              </w:rPr>
              <w:tab/>
            </w:r>
            <w:r>
              <w:rPr>
                <w:rFonts w:hint="eastAsia"/>
                <w:color w:val="auto"/>
                <w:sz w:val="24"/>
                <w:szCs w:val="24"/>
                <w:highlight w:val="none"/>
              </w:rPr>
              <w:t>等级：</w:t>
            </w:r>
            <w:r>
              <w:rPr>
                <w:rFonts w:hint="eastAsia"/>
                <w:color w:val="auto"/>
                <w:sz w:val="24"/>
                <w:szCs w:val="24"/>
                <w:highlight w:val="none"/>
              </w:rPr>
              <w:tab/>
            </w:r>
            <w:r>
              <w:rPr>
                <w:rFonts w:hint="eastAsia"/>
                <w:color w:val="auto"/>
                <w:sz w:val="24"/>
                <w:szCs w:val="24"/>
                <w:highlight w:val="none"/>
              </w:rPr>
              <w:t>证书号：</w:t>
            </w:r>
          </w:p>
        </w:tc>
      </w:tr>
      <w:tr w14:paraId="2DFB4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2142" w:type="dxa"/>
            <w:tcBorders>
              <w:top w:val="single" w:color="000000" w:sz="4" w:space="0"/>
              <w:left w:val="single" w:color="000000" w:sz="4" w:space="0"/>
              <w:bottom w:val="single" w:color="000000" w:sz="4" w:space="0"/>
              <w:right w:val="single" w:color="000000" w:sz="4" w:space="0"/>
            </w:tcBorders>
          </w:tcPr>
          <w:p w14:paraId="08922166">
            <w:pPr>
              <w:pStyle w:val="198"/>
              <w:spacing w:before="107"/>
              <w:rPr>
                <w:color w:val="auto"/>
                <w:sz w:val="24"/>
                <w:szCs w:val="24"/>
                <w:highlight w:val="none"/>
                <w:lang w:eastAsia="en-US"/>
              </w:rPr>
            </w:pPr>
            <w:r>
              <w:rPr>
                <w:rFonts w:hint="eastAsia"/>
                <w:color w:val="auto"/>
                <w:sz w:val="24"/>
                <w:szCs w:val="24"/>
                <w:highlight w:val="none"/>
              </w:rPr>
              <w:t>营业执照号</w:t>
            </w:r>
          </w:p>
        </w:tc>
        <w:tc>
          <w:tcPr>
            <w:tcW w:w="3444" w:type="dxa"/>
            <w:gridSpan w:val="3"/>
            <w:tcBorders>
              <w:top w:val="single" w:color="000000" w:sz="4" w:space="0"/>
              <w:left w:val="single" w:color="000000" w:sz="4" w:space="0"/>
              <w:bottom w:val="single" w:color="000000" w:sz="4" w:space="0"/>
              <w:right w:val="single" w:color="000000" w:sz="4" w:space="0"/>
            </w:tcBorders>
          </w:tcPr>
          <w:p w14:paraId="4C761339">
            <w:pPr>
              <w:rPr>
                <w:color w:val="auto"/>
                <w:sz w:val="24"/>
                <w:highlight w:val="none"/>
              </w:rPr>
            </w:pPr>
          </w:p>
        </w:tc>
        <w:tc>
          <w:tcPr>
            <w:tcW w:w="3729" w:type="dxa"/>
            <w:gridSpan w:val="5"/>
            <w:tcBorders>
              <w:top w:val="single" w:color="000000" w:sz="4" w:space="0"/>
              <w:left w:val="single" w:color="000000" w:sz="4" w:space="0"/>
              <w:bottom w:val="single" w:color="000000" w:sz="4" w:space="0"/>
              <w:right w:val="single" w:color="000000" w:sz="4" w:space="0"/>
            </w:tcBorders>
          </w:tcPr>
          <w:p w14:paraId="7709C851">
            <w:pPr>
              <w:pStyle w:val="198"/>
              <w:spacing w:before="107"/>
              <w:ind w:left="1178"/>
              <w:rPr>
                <w:color w:val="auto"/>
                <w:sz w:val="24"/>
                <w:szCs w:val="24"/>
                <w:highlight w:val="none"/>
              </w:rPr>
            </w:pPr>
            <w:r>
              <w:rPr>
                <w:rFonts w:hint="eastAsia"/>
                <w:color w:val="auto"/>
                <w:sz w:val="24"/>
                <w:szCs w:val="24"/>
                <w:highlight w:val="none"/>
              </w:rPr>
              <w:t>员工总人数：</w:t>
            </w:r>
          </w:p>
        </w:tc>
      </w:tr>
      <w:tr w14:paraId="5BEB0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2142" w:type="dxa"/>
            <w:tcBorders>
              <w:top w:val="single" w:color="000000" w:sz="4" w:space="0"/>
              <w:left w:val="single" w:color="000000" w:sz="4" w:space="0"/>
              <w:bottom w:val="single" w:color="000000" w:sz="4" w:space="0"/>
              <w:right w:val="single" w:color="000000" w:sz="4" w:space="0"/>
            </w:tcBorders>
          </w:tcPr>
          <w:p w14:paraId="16DB4258">
            <w:pPr>
              <w:pStyle w:val="198"/>
              <w:spacing w:before="107"/>
              <w:rPr>
                <w:color w:val="auto"/>
                <w:sz w:val="24"/>
                <w:szCs w:val="24"/>
                <w:highlight w:val="none"/>
              </w:rPr>
            </w:pPr>
            <w:r>
              <w:rPr>
                <w:rFonts w:hint="eastAsia"/>
                <w:color w:val="auto"/>
                <w:sz w:val="24"/>
                <w:szCs w:val="24"/>
                <w:highlight w:val="none"/>
              </w:rPr>
              <w:t>注册资本</w:t>
            </w:r>
          </w:p>
        </w:tc>
        <w:tc>
          <w:tcPr>
            <w:tcW w:w="3444" w:type="dxa"/>
            <w:gridSpan w:val="3"/>
            <w:tcBorders>
              <w:top w:val="single" w:color="000000" w:sz="4" w:space="0"/>
              <w:left w:val="single" w:color="000000" w:sz="4" w:space="0"/>
              <w:bottom w:val="single" w:color="000000" w:sz="4" w:space="0"/>
              <w:right w:val="single" w:color="000000" w:sz="4" w:space="0"/>
            </w:tcBorders>
          </w:tcPr>
          <w:p w14:paraId="63867752">
            <w:pPr>
              <w:rPr>
                <w:color w:val="auto"/>
                <w:sz w:val="24"/>
                <w:highlight w:val="none"/>
              </w:rPr>
            </w:pPr>
          </w:p>
        </w:tc>
        <w:tc>
          <w:tcPr>
            <w:tcW w:w="450" w:type="dxa"/>
            <w:vMerge w:val="restart"/>
            <w:tcBorders>
              <w:top w:val="single" w:color="000000" w:sz="4" w:space="0"/>
              <w:left w:val="single" w:color="000000" w:sz="4" w:space="0"/>
              <w:bottom w:val="single" w:color="000000" w:sz="4" w:space="0"/>
              <w:right w:val="single" w:color="000000" w:sz="4" w:space="0"/>
            </w:tcBorders>
            <w:vAlign w:val="center"/>
          </w:tcPr>
          <w:p w14:paraId="40359E0E">
            <w:pPr>
              <w:pStyle w:val="198"/>
              <w:spacing w:before="1" w:line="384" w:lineRule="auto"/>
              <w:ind w:right="72"/>
              <w:rPr>
                <w:color w:val="auto"/>
                <w:sz w:val="24"/>
                <w:szCs w:val="24"/>
                <w:highlight w:val="none"/>
              </w:rPr>
            </w:pPr>
            <w:r>
              <w:rPr>
                <w:rFonts w:hint="eastAsia"/>
                <w:color w:val="auto"/>
                <w:sz w:val="24"/>
                <w:szCs w:val="24"/>
                <w:highlight w:val="none"/>
              </w:rPr>
              <w:t>其</w:t>
            </w:r>
          </w:p>
          <w:p w14:paraId="6B22799B">
            <w:pPr>
              <w:pStyle w:val="198"/>
              <w:spacing w:before="1" w:line="384" w:lineRule="auto"/>
              <w:ind w:right="72"/>
              <w:rPr>
                <w:color w:val="auto"/>
                <w:sz w:val="24"/>
                <w:szCs w:val="24"/>
                <w:highlight w:val="none"/>
              </w:rPr>
            </w:pPr>
            <w:r>
              <w:rPr>
                <w:rFonts w:hint="eastAsia"/>
                <w:color w:val="auto"/>
                <w:sz w:val="24"/>
                <w:szCs w:val="24"/>
                <w:highlight w:val="none"/>
              </w:rPr>
              <w:t>中</w:t>
            </w:r>
          </w:p>
        </w:tc>
        <w:tc>
          <w:tcPr>
            <w:tcW w:w="1844" w:type="dxa"/>
            <w:gridSpan w:val="2"/>
            <w:tcBorders>
              <w:top w:val="single" w:color="000000" w:sz="4" w:space="0"/>
              <w:left w:val="single" w:color="000000" w:sz="4" w:space="0"/>
              <w:bottom w:val="single" w:color="000000" w:sz="4" w:space="0"/>
              <w:right w:val="single" w:color="000000" w:sz="4" w:space="0"/>
            </w:tcBorders>
          </w:tcPr>
          <w:p w14:paraId="493CF94B">
            <w:pPr>
              <w:pStyle w:val="198"/>
              <w:spacing w:before="107"/>
              <w:rPr>
                <w:color w:val="auto"/>
                <w:sz w:val="24"/>
                <w:szCs w:val="24"/>
                <w:highlight w:val="none"/>
              </w:rPr>
            </w:pPr>
            <w:r>
              <w:rPr>
                <w:rFonts w:hint="eastAsia"/>
                <w:color w:val="auto"/>
                <w:sz w:val="24"/>
                <w:szCs w:val="24"/>
                <w:highlight w:val="none"/>
              </w:rPr>
              <w:t>高级职称人员</w:t>
            </w:r>
          </w:p>
        </w:tc>
        <w:tc>
          <w:tcPr>
            <w:tcW w:w="1435" w:type="dxa"/>
            <w:gridSpan w:val="2"/>
            <w:tcBorders>
              <w:top w:val="single" w:color="000000" w:sz="4" w:space="0"/>
              <w:left w:val="single" w:color="000000" w:sz="4" w:space="0"/>
              <w:bottom w:val="single" w:color="000000" w:sz="4" w:space="0"/>
              <w:right w:val="single" w:color="000000" w:sz="4" w:space="0"/>
            </w:tcBorders>
          </w:tcPr>
          <w:p w14:paraId="0E7C79AB">
            <w:pPr>
              <w:rPr>
                <w:color w:val="auto"/>
                <w:sz w:val="24"/>
                <w:highlight w:val="none"/>
              </w:rPr>
            </w:pPr>
          </w:p>
        </w:tc>
      </w:tr>
      <w:tr w14:paraId="1B15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2142" w:type="dxa"/>
            <w:tcBorders>
              <w:top w:val="single" w:color="000000" w:sz="4" w:space="0"/>
              <w:left w:val="single" w:color="000000" w:sz="4" w:space="0"/>
              <w:bottom w:val="single" w:color="000000" w:sz="4" w:space="0"/>
              <w:right w:val="single" w:color="000000" w:sz="4" w:space="0"/>
            </w:tcBorders>
          </w:tcPr>
          <w:p w14:paraId="5F6A3B59">
            <w:pPr>
              <w:pStyle w:val="198"/>
              <w:spacing w:before="107"/>
              <w:rPr>
                <w:color w:val="auto"/>
                <w:sz w:val="24"/>
                <w:szCs w:val="24"/>
                <w:highlight w:val="none"/>
              </w:rPr>
            </w:pPr>
            <w:r>
              <w:rPr>
                <w:rFonts w:hint="eastAsia"/>
                <w:color w:val="auto"/>
                <w:sz w:val="24"/>
                <w:szCs w:val="24"/>
                <w:highlight w:val="none"/>
              </w:rPr>
              <w:t>成立日期</w:t>
            </w:r>
          </w:p>
        </w:tc>
        <w:tc>
          <w:tcPr>
            <w:tcW w:w="3444" w:type="dxa"/>
            <w:gridSpan w:val="3"/>
            <w:tcBorders>
              <w:top w:val="single" w:color="000000" w:sz="4" w:space="0"/>
              <w:left w:val="single" w:color="000000" w:sz="4" w:space="0"/>
              <w:bottom w:val="single" w:color="000000" w:sz="4" w:space="0"/>
              <w:right w:val="single" w:color="000000" w:sz="4" w:space="0"/>
            </w:tcBorders>
          </w:tcPr>
          <w:p w14:paraId="1DA0FC7C">
            <w:pPr>
              <w:rPr>
                <w:color w:val="auto"/>
                <w:sz w:val="24"/>
                <w:highlight w:val="none"/>
              </w:rPr>
            </w:pPr>
          </w:p>
        </w:tc>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6BFC10E2">
            <w:pPr>
              <w:widowControl/>
              <w:jc w:val="left"/>
              <w:rPr>
                <w:rFonts w:ascii="宋体" w:hAnsi="宋体" w:cs="宋体"/>
                <w:color w:val="auto"/>
                <w:kern w:val="0"/>
                <w:sz w:val="24"/>
                <w:highlight w:val="none"/>
                <w:lang w:eastAsia="en-US"/>
              </w:rPr>
            </w:pPr>
          </w:p>
        </w:tc>
        <w:tc>
          <w:tcPr>
            <w:tcW w:w="1844" w:type="dxa"/>
            <w:gridSpan w:val="2"/>
            <w:tcBorders>
              <w:top w:val="single" w:color="000000" w:sz="4" w:space="0"/>
              <w:left w:val="single" w:color="000000" w:sz="4" w:space="0"/>
              <w:bottom w:val="single" w:color="000000" w:sz="4" w:space="0"/>
              <w:right w:val="single" w:color="000000" w:sz="4" w:space="0"/>
            </w:tcBorders>
          </w:tcPr>
          <w:p w14:paraId="74557A98">
            <w:pPr>
              <w:pStyle w:val="198"/>
              <w:spacing w:before="107"/>
              <w:rPr>
                <w:color w:val="auto"/>
                <w:sz w:val="24"/>
                <w:szCs w:val="24"/>
                <w:highlight w:val="none"/>
              </w:rPr>
            </w:pPr>
            <w:r>
              <w:rPr>
                <w:rFonts w:hint="eastAsia"/>
                <w:color w:val="auto"/>
                <w:sz w:val="24"/>
                <w:szCs w:val="24"/>
                <w:highlight w:val="none"/>
              </w:rPr>
              <w:t>中级职称人员</w:t>
            </w:r>
          </w:p>
        </w:tc>
        <w:tc>
          <w:tcPr>
            <w:tcW w:w="1435" w:type="dxa"/>
            <w:gridSpan w:val="2"/>
            <w:tcBorders>
              <w:top w:val="single" w:color="000000" w:sz="4" w:space="0"/>
              <w:left w:val="single" w:color="000000" w:sz="4" w:space="0"/>
              <w:bottom w:val="single" w:color="000000" w:sz="4" w:space="0"/>
              <w:right w:val="single" w:color="000000" w:sz="4" w:space="0"/>
            </w:tcBorders>
          </w:tcPr>
          <w:p w14:paraId="019BF2A7">
            <w:pPr>
              <w:rPr>
                <w:color w:val="auto"/>
                <w:sz w:val="24"/>
                <w:highlight w:val="none"/>
              </w:rPr>
            </w:pPr>
          </w:p>
        </w:tc>
      </w:tr>
      <w:tr w14:paraId="0F32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exact"/>
        </w:trPr>
        <w:tc>
          <w:tcPr>
            <w:tcW w:w="2142" w:type="dxa"/>
            <w:tcBorders>
              <w:top w:val="single" w:color="000000" w:sz="4" w:space="0"/>
              <w:left w:val="single" w:color="000000" w:sz="4" w:space="0"/>
              <w:bottom w:val="single" w:color="000000" w:sz="4" w:space="0"/>
              <w:right w:val="single" w:color="000000" w:sz="4" w:space="0"/>
            </w:tcBorders>
          </w:tcPr>
          <w:p w14:paraId="52DCB87A">
            <w:pPr>
              <w:pStyle w:val="198"/>
              <w:spacing w:before="107"/>
              <w:ind w:right="-176" w:rightChars="-84"/>
              <w:rPr>
                <w:color w:val="auto"/>
                <w:sz w:val="24"/>
                <w:szCs w:val="24"/>
                <w:highlight w:val="none"/>
              </w:rPr>
            </w:pPr>
            <w:r>
              <w:rPr>
                <w:rFonts w:hint="eastAsia"/>
                <w:color w:val="auto"/>
                <w:sz w:val="24"/>
                <w:szCs w:val="24"/>
                <w:highlight w:val="none"/>
              </w:rPr>
              <w:t>基本账户开户银行</w:t>
            </w:r>
          </w:p>
        </w:tc>
        <w:tc>
          <w:tcPr>
            <w:tcW w:w="3444" w:type="dxa"/>
            <w:gridSpan w:val="3"/>
            <w:tcBorders>
              <w:top w:val="single" w:color="000000" w:sz="4" w:space="0"/>
              <w:left w:val="single" w:color="000000" w:sz="4" w:space="0"/>
              <w:bottom w:val="single" w:color="000000" w:sz="4" w:space="0"/>
              <w:right w:val="single" w:color="000000" w:sz="4" w:space="0"/>
            </w:tcBorders>
          </w:tcPr>
          <w:p w14:paraId="00636706">
            <w:pPr>
              <w:rPr>
                <w:color w:val="auto"/>
                <w:sz w:val="24"/>
                <w:highlight w:val="none"/>
              </w:rPr>
            </w:pPr>
          </w:p>
        </w:tc>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7420043E">
            <w:pPr>
              <w:widowControl/>
              <w:jc w:val="left"/>
              <w:rPr>
                <w:rFonts w:ascii="宋体" w:hAnsi="宋体" w:cs="宋体"/>
                <w:color w:val="auto"/>
                <w:kern w:val="0"/>
                <w:sz w:val="24"/>
                <w:highlight w:val="none"/>
                <w:lang w:eastAsia="en-US"/>
              </w:rPr>
            </w:pPr>
          </w:p>
        </w:tc>
        <w:tc>
          <w:tcPr>
            <w:tcW w:w="1844" w:type="dxa"/>
            <w:gridSpan w:val="2"/>
            <w:tcBorders>
              <w:top w:val="single" w:color="000000" w:sz="4" w:space="0"/>
              <w:left w:val="single" w:color="000000" w:sz="4" w:space="0"/>
              <w:bottom w:val="single" w:color="000000" w:sz="4" w:space="0"/>
              <w:right w:val="single" w:color="000000" w:sz="4" w:space="0"/>
            </w:tcBorders>
          </w:tcPr>
          <w:p w14:paraId="38CF81DC">
            <w:pPr>
              <w:pStyle w:val="198"/>
              <w:spacing w:before="107"/>
              <w:rPr>
                <w:color w:val="auto"/>
                <w:sz w:val="24"/>
                <w:szCs w:val="24"/>
                <w:highlight w:val="none"/>
              </w:rPr>
            </w:pPr>
            <w:r>
              <w:rPr>
                <w:rFonts w:hint="eastAsia"/>
                <w:color w:val="auto"/>
                <w:sz w:val="24"/>
                <w:szCs w:val="24"/>
                <w:highlight w:val="none"/>
              </w:rPr>
              <w:t>技术人员数量</w:t>
            </w:r>
          </w:p>
        </w:tc>
        <w:tc>
          <w:tcPr>
            <w:tcW w:w="1435" w:type="dxa"/>
            <w:gridSpan w:val="2"/>
            <w:tcBorders>
              <w:top w:val="single" w:color="000000" w:sz="4" w:space="0"/>
              <w:left w:val="single" w:color="000000" w:sz="4" w:space="0"/>
              <w:bottom w:val="single" w:color="000000" w:sz="4" w:space="0"/>
              <w:right w:val="single" w:color="000000" w:sz="4" w:space="0"/>
            </w:tcBorders>
          </w:tcPr>
          <w:p w14:paraId="2870C248">
            <w:pPr>
              <w:rPr>
                <w:color w:val="auto"/>
                <w:sz w:val="24"/>
                <w:highlight w:val="none"/>
              </w:rPr>
            </w:pPr>
          </w:p>
        </w:tc>
      </w:tr>
      <w:tr w14:paraId="39A8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2142" w:type="dxa"/>
            <w:tcBorders>
              <w:top w:val="single" w:color="000000" w:sz="4" w:space="0"/>
              <w:left w:val="single" w:color="000000" w:sz="4" w:space="0"/>
              <w:bottom w:val="single" w:color="000000" w:sz="4" w:space="0"/>
              <w:right w:val="single" w:color="000000" w:sz="4" w:space="0"/>
            </w:tcBorders>
          </w:tcPr>
          <w:p w14:paraId="75EC982E">
            <w:pPr>
              <w:pStyle w:val="198"/>
              <w:spacing w:before="107"/>
              <w:rPr>
                <w:color w:val="auto"/>
                <w:sz w:val="24"/>
                <w:szCs w:val="24"/>
                <w:highlight w:val="none"/>
              </w:rPr>
            </w:pPr>
            <w:r>
              <w:rPr>
                <w:rFonts w:hint="eastAsia"/>
                <w:color w:val="auto"/>
                <w:sz w:val="24"/>
                <w:szCs w:val="24"/>
                <w:highlight w:val="none"/>
              </w:rPr>
              <w:t>基本账户银行账号</w:t>
            </w:r>
          </w:p>
        </w:tc>
        <w:tc>
          <w:tcPr>
            <w:tcW w:w="3444" w:type="dxa"/>
            <w:gridSpan w:val="3"/>
            <w:tcBorders>
              <w:top w:val="single" w:color="000000" w:sz="4" w:space="0"/>
              <w:left w:val="single" w:color="000000" w:sz="4" w:space="0"/>
              <w:bottom w:val="single" w:color="000000" w:sz="4" w:space="0"/>
              <w:right w:val="single" w:color="000000" w:sz="4" w:space="0"/>
            </w:tcBorders>
          </w:tcPr>
          <w:p w14:paraId="6FBE6FCF">
            <w:pPr>
              <w:rPr>
                <w:color w:val="auto"/>
                <w:sz w:val="24"/>
                <w:highlight w:val="none"/>
              </w:rPr>
            </w:pPr>
          </w:p>
        </w:tc>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5A1397ED">
            <w:pPr>
              <w:widowControl/>
              <w:jc w:val="left"/>
              <w:rPr>
                <w:rFonts w:ascii="宋体" w:hAnsi="宋体" w:cs="宋体"/>
                <w:color w:val="auto"/>
                <w:kern w:val="0"/>
                <w:sz w:val="24"/>
                <w:highlight w:val="none"/>
                <w:lang w:eastAsia="en-US"/>
              </w:rPr>
            </w:pPr>
          </w:p>
        </w:tc>
        <w:tc>
          <w:tcPr>
            <w:tcW w:w="1844" w:type="dxa"/>
            <w:gridSpan w:val="2"/>
            <w:tcBorders>
              <w:top w:val="single" w:color="000000" w:sz="4" w:space="0"/>
              <w:left w:val="single" w:color="000000" w:sz="4" w:space="0"/>
              <w:bottom w:val="single" w:color="000000" w:sz="4" w:space="0"/>
              <w:right w:val="single" w:color="000000" w:sz="4" w:space="0"/>
            </w:tcBorders>
          </w:tcPr>
          <w:p w14:paraId="75E4BD1B">
            <w:pPr>
              <w:pStyle w:val="198"/>
              <w:spacing w:before="107"/>
              <w:rPr>
                <w:color w:val="auto"/>
                <w:sz w:val="24"/>
                <w:szCs w:val="24"/>
                <w:highlight w:val="none"/>
              </w:rPr>
            </w:pPr>
            <w:r>
              <w:rPr>
                <w:rFonts w:hint="eastAsia"/>
                <w:color w:val="auto"/>
                <w:sz w:val="24"/>
                <w:szCs w:val="24"/>
                <w:highlight w:val="none"/>
              </w:rPr>
              <w:t>各类注册人员</w:t>
            </w:r>
          </w:p>
        </w:tc>
        <w:tc>
          <w:tcPr>
            <w:tcW w:w="1435" w:type="dxa"/>
            <w:gridSpan w:val="2"/>
            <w:tcBorders>
              <w:top w:val="single" w:color="000000" w:sz="4" w:space="0"/>
              <w:left w:val="single" w:color="000000" w:sz="4" w:space="0"/>
              <w:bottom w:val="single" w:color="000000" w:sz="4" w:space="0"/>
              <w:right w:val="single" w:color="000000" w:sz="4" w:space="0"/>
            </w:tcBorders>
          </w:tcPr>
          <w:p w14:paraId="6DF3D73D">
            <w:pPr>
              <w:rPr>
                <w:color w:val="auto"/>
                <w:sz w:val="24"/>
                <w:highlight w:val="none"/>
              </w:rPr>
            </w:pPr>
          </w:p>
        </w:tc>
      </w:tr>
      <w:tr w14:paraId="7B99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exact"/>
        </w:trPr>
        <w:tc>
          <w:tcPr>
            <w:tcW w:w="2142" w:type="dxa"/>
            <w:tcBorders>
              <w:top w:val="single" w:color="000000" w:sz="4" w:space="0"/>
              <w:left w:val="single" w:color="000000" w:sz="4" w:space="0"/>
              <w:bottom w:val="single" w:color="000000" w:sz="4" w:space="0"/>
              <w:right w:val="single" w:color="000000" w:sz="4" w:space="0"/>
            </w:tcBorders>
          </w:tcPr>
          <w:p w14:paraId="37FF2BB6">
            <w:pPr>
              <w:pStyle w:val="198"/>
              <w:spacing w:before="107"/>
              <w:rPr>
                <w:color w:val="auto"/>
                <w:sz w:val="24"/>
                <w:szCs w:val="24"/>
                <w:highlight w:val="none"/>
              </w:rPr>
            </w:pPr>
            <w:r>
              <w:rPr>
                <w:rFonts w:hint="eastAsia"/>
                <w:color w:val="auto"/>
                <w:sz w:val="24"/>
                <w:szCs w:val="24"/>
                <w:highlight w:val="none"/>
              </w:rPr>
              <w:t>经营范围</w:t>
            </w:r>
          </w:p>
        </w:tc>
        <w:tc>
          <w:tcPr>
            <w:tcW w:w="7173" w:type="dxa"/>
            <w:gridSpan w:val="8"/>
            <w:tcBorders>
              <w:top w:val="single" w:color="000000" w:sz="4" w:space="0"/>
              <w:left w:val="single" w:color="000000" w:sz="4" w:space="0"/>
              <w:bottom w:val="single" w:color="000000" w:sz="4" w:space="0"/>
              <w:right w:val="single" w:color="000000" w:sz="4" w:space="0"/>
            </w:tcBorders>
          </w:tcPr>
          <w:p w14:paraId="2A8A6274">
            <w:pPr>
              <w:rPr>
                <w:color w:val="auto"/>
                <w:sz w:val="24"/>
                <w:highlight w:val="none"/>
              </w:rPr>
            </w:pPr>
          </w:p>
        </w:tc>
      </w:tr>
      <w:tr w14:paraId="74CF5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2" w:hRule="exact"/>
        </w:trPr>
        <w:tc>
          <w:tcPr>
            <w:tcW w:w="2142" w:type="dxa"/>
            <w:tcBorders>
              <w:top w:val="single" w:color="000000" w:sz="4" w:space="0"/>
              <w:left w:val="single" w:color="000000" w:sz="4" w:space="0"/>
              <w:bottom w:val="single" w:color="000000" w:sz="4" w:space="0"/>
              <w:right w:val="single" w:color="000000" w:sz="4" w:space="0"/>
            </w:tcBorders>
          </w:tcPr>
          <w:p w14:paraId="089C10DD">
            <w:pPr>
              <w:pStyle w:val="198"/>
              <w:spacing w:before="107" w:line="384" w:lineRule="auto"/>
              <w:ind w:right="-43"/>
              <w:rPr>
                <w:color w:val="auto"/>
                <w:sz w:val="24"/>
                <w:szCs w:val="24"/>
                <w:highlight w:val="none"/>
              </w:rPr>
            </w:pPr>
            <w:r>
              <w:rPr>
                <w:rFonts w:hint="eastAsia"/>
                <w:color w:val="auto"/>
                <w:sz w:val="24"/>
                <w:szCs w:val="24"/>
                <w:highlight w:val="none"/>
              </w:rPr>
              <w:t>关联企业情</w:t>
            </w:r>
            <w:r>
              <w:rPr>
                <w:rFonts w:hint="eastAsia"/>
                <w:color w:val="auto"/>
                <w:spacing w:val="-8"/>
                <w:sz w:val="24"/>
                <w:szCs w:val="24"/>
                <w:highlight w:val="none"/>
              </w:rPr>
              <w:t>况（包括但不限于与</w:t>
            </w:r>
            <w:r>
              <w:rPr>
                <w:rFonts w:hint="eastAsia"/>
                <w:color w:val="auto"/>
                <w:sz w:val="24"/>
                <w:szCs w:val="24"/>
                <w:highlight w:val="none"/>
                <w:lang w:eastAsia="zh-CN"/>
              </w:rPr>
              <w:t>投标人</w:t>
            </w:r>
            <w:r>
              <w:rPr>
                <w:rFonts w:hint="eastAsia"/>
                <w:color w:val="auto"/>
                <w:sz w:val="24"/>
                <w:szCs w:val="24"/>
                <w:highlight w:val="none"/>
              </w:rPr>
              <w:t>法定代表人为同一人或者存在</w:t>
            </w:r>
            <w:r>
              <w:rPr>
                <w:rFonts w:hint="eastAsia"/>
                <w:color w:val="auto"/>
                <w:spacing w:val="-8"/>
                <w:sz w:val="24"/>
                <w:szCs w:val="24"/>
                <w:highlight w:val="none"/>
              </w:rPr>
              <w:t>控股、管理关系的不</w:t>
            </w:r>
            <w:r>
              <w:rPr>
                <w:rFonts w:hint="eastAsia"/>
                <w:color w:val="auto"/>
                <w:sz w:val="24"/>
                <w:szCs w:val="24"/>
                <w:highlight w:val="none"/>
              </w:rPr>
              <w:t>同单位）</w:t>
            </w:r>
          </w:p>
        </w:tc>
        <w:tc>
          <w:tcPr>
            <w:tcW w:w="7173" w:type="dxa"/>
            <w:gridSpan w:val="8"/>
            <w:tcBorders>
              <w:top w:val="single" w:color="000000" w:sz="4" w:space="0"/>
              <w:left w:val="single" w:color="000000" w:sz="4" w:space="0"/>
              <w:bottom w:val="single" w:color="000000" w:sz="4" w:space="0"/>
              <w:right w:val="single" w:color="000000" w:sz="4" w:space="0"/>
            </w:tcBorders>
          </w:tcPr>
          <w:p w14:paraId="64B240CD">
            <w:pPr>
              <w:rPr>
                <w:color w:val="auto"/>
                <w:sz w:val="24"/>
                <w:highlight w:val="none"/>
              </w:rPr>
            </w:pPr>
          </w:p>
        </w:tc>
      </w:tr>
      <w:tr w14:paraId="7892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trPr>
        <w:tc>
          <w:tcPr>
            <w:tcW w:w="2142" w:type="dxa"/>
            <w:tcBorders>
              <w:top w:val="single" w:color="000000" w:sz="4" w:space="0"/>
              <w:left w:val="single" w:color="000000" w:sz="4" w:space="0"/>
              <w:bottom w:val="single" w:color="000000" w:sz="4" w:space="0"/>
              <w:right w:val="single" w:color="000000" w:sz="4" w:space="0"/>
            </w:tcBorders>
          </w:tcPr>
          <w:p w14:paraId="467A6355">
            <w:pPr>
              <w:pStyle w:val="198"/>
              <w:spacing w:before="107"/>
              <w:ind w:left="158" w:right="154"/>
              <w:rPr>
                <w:color w:val="auto"/>
                <w:sz w:val="24"/>
                <w:szCs w:val="24"/>
                <w:highlight w:val="none"/>
              </w:rPr>
            </w:pPr>
            <w:r>
              <w:rPr>
                <w:rFonts w:hint="eastAsia"/>
                <w:color w:val="auto"/>
                <w:sz w:val="24"/>
                <w:szCs w:val="24"/>
                <w:highlight w:val="none"/>
              </w:rPr>
              <w:t>备注</w:t>
            </w:r>
          </w:p>
        </w:tc>
        <w:tc>
          <w:tcPr>
            <w:tcW w:w="7173" w:type="dxa"/>
            <w:gridSpan w:val="8"/>
            <w:tcBorders>
              <w:top w:val="single" w:color="000000" w:sz="4" w:space="0"/>
              <w:left w:val="single" w:color="000000" w:sz="4" w:space="0"/>
              <w:bottom w:val="single" w:color="000000" w:sz="4" w:space="0"/>
              <w:right w:val="single" w:color="000000" w:sz="4" w:space="0"/>
            </w:tcBorders>
          </w:tcPr>
          <w:p w14:paraId="1B027D30">
            <w:pPr>
              <w:rPr>
                <w:color w:val="auto"/>
                <w:sz w:val="24"/>
                <w:highlight w:val="none"/>
              </w:rPr>
            </w:pPr>
          </w:p>
        </w:tc>
      </w:tr>
    </w:tbl>
    <w:p w14:paraId="2D7F666A">
      <w:pPr>
        <w:keepNext/>
        <w:keepLines/>
        <w:spacing w:line="400" w:lineRule="exact"/>
        <w:outlineLvl w:val="2"/>
        <w:rPr>
          <w:rFonts w:ascii="宋体" w:hAnsi="宋体" w:cs="宋体"/>
          <w:color w:val="auto"/>
          <w:sz w:val="24"/>
          <w:szCs w:val="23"/>
          <w:highlight w:val="none"/>
        </w:rPr>
      </w:pPr>
    </w:p>
    <w:p w14:paraId="19E65658">
      <w:pPr>
        <w:keepNext/>
        <w:keepLines/>
        <w:spacing w:line="400" w:lineRule="exact"/>
        <w:outlineLvl w:val="2"/>
        <w:rPr>
          <w:rFonts w:hint="default" w:ascii="宋体" w:hAnsi="宋体" w:eastAsia="宋体" w:cs="宋体"/>
          <w:color w:val="auto"/>
          <w:sz w:val="24"/>
          <w:szCs w:val="23"/>
          <w:highlight w:val="none"/>
          <w:lang w:val="en-US" w:eastAsia="zh-CN"/>
        </w:rPr>
      </w:pPr>
      <w:r>
        <w:rPr>
          <w:rFonts w:hint="eastAsia" w:ascii="宋体" w:hAnsi="宋体" w:cs="宋体"/>
          <w:color w:val="auto"/>
          <w:sz w:val="24"/>
          <w:szCs w:val="23"/>
          <w:highlight w:val="none"/>
          <w:lang w:val="en-US" w:eastAsia="zh-CN"/>
        </w:rPr>
        <w:t>注：联合体牵头人及成员分别填写。</w:t>
      </w:r>
    </w:p>
    <w:p w14:paraId="5C78FE29">
      <w:pPr>
        <w:pStyle w:val="43"/>
        <w:ind w:firstLine="210"/>
        <w:rPr>
          <w:color w:val="auto"/>
          <w:highlight w:val="none"/>
        </w:rPr>
      </w:pPr>
    </w:p>
    <w:p w14:paraId="29F97E02">
      <w:pPr>
        <w:topLinePunct/>
        <w:spacing w:line="440" w:lineRule="exact"/>
        <w:jc w:val="center"/>
        <w:rPr>
          <w:color w:val="auto"/>
          <w:highlight w:val="none"/>
        </w:rPr>
      </w:pPr>
    </w:p>
    <w:p w14:paraId="4C5CB8F7">
      <w:pPr>
        <w:rPr>
          <w:rFonts w:ascii="宋体" w:hAnsi="宋体" w:cs="宋体"/>
          <w:color w:val="auto"/>
          <w:sz w:val="24"/>
          <w:highlight w:val="none"/>
        </w:rPr>
      </w:pPr>
      <w:bookmarkStart w:id="270" w:name="_Toc152042599"/>
      <w:bookmarkStart w:id="271" w:name="_Toc3020"/>
      <w:bookmarkStart w:id="272" w:name="_Toc144974878"/>
      <w:bookmarkStart w:id="273" w:name="_Toc152045810"/>
      <w:bookmarkStart w:id="274" w:name="_Toc13428"/>
      <w:r>
        <w:rPr>
          <w:rFonts w:hint="eastAsia" w:ascii="宋体" w:hAnsi="宋体" w:cs="宋体"/>
          <w:color w:val="auto"/>
          <w:sz w:val="24"/>
          <w:szCs w:val="23"/>
          <w:highlight w:val="none"/>
        </w:rPr>
        <w:t>（二）</w:t>
      </w:r>
      <w:r>
        <w:rPr>
          <w:rFonts w:hint="eastAsia" w:ascii="宋体" w:hAnsi="宋体" w:cs="宋体"/>
          <w:color w:val="auto"/>
          <w:sz w:val="24"/>
          <w:highlight w:val="none"/>
        </w:rPr>
        <w:t>类似业绩情况表</w:t>
      </w:r>
      <w:bookmarkEnd w:id="270"/>
      <w:bookmarkEnd w:id="271"/>
      <w:bookmarkEnd w:id="272"/>
      <w:bookmarkEnd w:id="273"/>
      <w:bookmarkEnd w:id="274"/>
      <w:r>
        <w:rPr>
          <w:rFonts w:hint="eastAsia" w:ascii="宋体" w:hAnsi="宋体" w:cs="宋体"/>
          <w:color w:val="auto"/>
          <w:sz w:val="24"/>
          <w:highlight w:val="none"/>
        </w:rPr>
        <w:t>（如有）</w:t>
      </w:r>
    </w:p>
    <w:p w14:paraId="5B03D9CD">
      <w:pPr>
        <w:spacing w:line="440" w:lineRule="exact"/>
        <w:jc w:val="center"/>
        <w:rPr>
          <w:rFonts w:ascii="宋体" w:hAnsi="宋体" w:cs="宋体"/>
          <w:color w:val="auto"/>
          <w:sz w:val="24"/>
          <w:highlight w:val="none"/>
        </w:rPr>
      </w:pPr>
    </w:p>
    <w:tbl>
      <w:tblPr>
        <w:tblStyle w:val="45"/>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1AE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tcBorders>
              <w:top w:val="single" w:color="auto" w:sz="4" w:space="0"/>
              <w:left w:val="single" w:color="auto" w:sz="4" w:space="0"/>
              <w:bottom w:val="single" w:color="auto" w:sz="4" w:space="0"/>
              <w:right w:val="single" w:color="auto" w:sz="4" w:space="0"/>
            </w:tcBorders>
            <w:vAlign w:val="center"/>
          </w:tcPr>
          <w:p w14:paraId="5EB1FEAA">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41F4D42E">
            <w:pPr>
              <w:topLinePunct/>
              <w:spacing w:line="440" w:lineRule="exact"/>
              <w:rPr>
                <w:rFonts w:ascii="宋体" w:hAnsi="宋体" w:cs="宋体"/>
                <w:color w:val="auto"/>
                <w:sz w:val="24"/>
                <w:highlight w:val="none"/>
              </w:rPr>
            </w:pPr>
          </w:p>
        </w:tc>
      </w:tr>
      <w:tr w14:paraId="21DE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tcBorders>
              <w:top w:val="single" w:color="auto" w:sz="4" w:space="0"/>
              <w:left w:val="single" w:color="auto" w:sz="4" w:space="0"/>
              <w:bottom w:val="single" w:color="auto" w:sz="4" w:space="0"/>
              <w:right w:val="single" w:color="auto" w:sz="4" w:space="0"/>
            </w:tcBorders>
            <w:vAlign w:val="center"/>
          </w:tcPr>
          <w:p w14:paraId="55D853AA">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3BF168E2">
            <w:pPr>
              <w:topLinePunct/>
              <w:spacing w:line="440" w:lineRule="exact"/>
              <w:rPr>
                <w:rFonts w:ascii="宋体" w:hAnsi="宋体" w:cs="宋体"/>
                <w:color w:val="auto"/>
                <w:sz w:val="24"/>
                <w:highlight w:val="none"/>
              </w:rPr>
            </w:pPr>
          </w:p>
        </w:tc>
      </w:tr>
      <w:tr w14:paraId="33E1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tcBorders>
              <w:top w:val="single" w:color="auto" w:sz="4" w:space="0"/>
              <w:left w:val="single" w:color="auto" w:sz="4" w:space="0"/>
              <w:bottom w:val="single" w:color="auto" w:sz="4" w:space="0"/>
              <w:right w:val="single" w:color="auto" w:sz="4" w:space="0"/>
            </w:tcBorders>
            <w:vAlign w:val="center"/>
          </w:tcPr>
          <w:p w14:paraId="5C32C2FA">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1056B44F">
            <w:pPr>
              <w:topLinePunct/>
              <w:spacing w:line="440" w:lineRule="exact"/>
              <w:rPr>
                <w:rFonts w:ascii="宋体" w:hAnsi="宋体" w:cs="宋体"/>
                <w:color w:val="auto"/>
                <w:sz w:val="24"/>
                <w:highlight w:val="none"/>
              </w:rPr>
            </w:pPr>
          </w:p>
        </w:tc>
      </w:tr>
      <w:tr w14:paraId="4AD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tcBorders>
              <w:top w:val="single" w:color="auto" w:sz="4" w:space="0"/>
              <w:left w:val="single" w:color="auto" w:sz="4" w:space="0"/>
              <w:bottom w:val="single" w:color="auto" w:sz="4" w:space="0"/>
              <w:right w:val="single" w:color="auto" w:sz="4" w:space="0"/>
            </w:tcBorders>
            <w:vAlign w:val="center"/>
          </w:tcPr>
          <w:p w14:paraId="0B383DBD">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30800268">
            <w:pPr>
              <w:topLinePunct/>
              <w:spacing w:line="440" w:lineRule="exact"/>
              <w:rPr>
                <w:rFonts w:ascii="宋体" w:hAnsi="宋体" w:cs="宋体"/>
                <w:color w:val="auto"/>
                <w:sz w:val="24"/>
                <w:highlight w:val="none"/>
              </w:rPr>
            </w:pPr>
          </w:p>
        </w:tc>
      </w:tr>
      <w:tr w14:paraId="7889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auto" w:sz="4" w:space="0"/>
              <w:left w:val="single" w:color="auto" w:sz="4" w:space="0"/>
              <w:bottom w:val="single" w:color="auto" w:sz="4" w:space="0"/>
              <w:right w:val="single" w:color="auto" w:sz="4" w:space="0"/>
            </w:tcBorders>
            <w:vAlign w:val="center"/>
          </w:tcPr>
          <w:p w14:paraId="265134C3">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2B30CF22">
            <w:pPr>
              <w:topLinePunct/>
              <w:spacing w:line="440" w:lineRule="exact"/>
              <w:rPr>
                <w:rFonts w:ascii="宋体" w:hAnsi="宋体" w:cs="宋体"/>
                <w:color w:val="auto"/>
                <w:sz w:val="24"/>
                <w:highlight w:val="none"/>
              </w:rPr>
            </w:pPr>
          </w:p>
        </w:tc>
      </w:tr>
      <w:tr w14:paraId="086C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tcBorders>
              <w:top w:val="single" w:color="auto" w:sz="4" w:space="0"/>
              <w:left w:val="single" w:color="auto" w:sz="4" w:space="0"/>
              <w:bottom w:val="single" w:color="auto" w:sz="4" w:space="0"/>
              <w:right w:val="single" w:color="auto" w:sz="4" w:space="0"/>
            </w:tcBorders>
            <w:vAlign w:val="center"/>
          </w:tcPr>
          <w:p w14:paraId="0BC3B3BF">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590A3C2D">
            <w:pPr>
              <w:topLinePunct/>
              <w:spacing w:line="440" w:lineRule="exact"/>
              <w:rPr>
                <w:rFonts w:ascii="宋体" w:hAnsi="宋体" w:cs="宋体"/>
                <w:color w:val="auto"/>
                <w:sz w:val="24"/>
                <w:highlight w:val="none"/>
              </w:rPr>
            </w:pPr>
          </w:p>
        </w:tc>
      </w:tr>
      <w:tr w14:paraId="2819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14:paraId="6E7BC8D9">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服务周期</w:t>
            </w:r>
          </w:p>
        </w:tc>
        <w:tc>
          <w:tcPr>
            <w:tcW w:w="6253" w:type="dxa"/>
            <w:tcBorders>
              <w:top w:val="single" w:color="auto" w:sz="4" w:space="0"/>
              <w:left w:val="single" w:color="auto" w:sz="4" w:space="0"/>
              <w:bottom w:val="single" w:color="auto" w:sz="4" w:space="0"/>
              <w:right w:val="single" w:color="auto" w:sz="4" w:space="0"/>
            </w:tcBorders>
          </w:tcPr>
          <w:p w14:paraId="4185540E">
            <w:pPr>
              <w:topLinePunct/>
              <w:spacing w:line="440" w:lineRule="exact"/>
              <w:rPr>
                <w:rFonts w:ascii="宋体" w:hAnsi="宋体" w:cs="宋体"/>
                <w:color w:val="auto"/>
                <w:sz w:val="24"/>
                <w:highlight w:val="none"/>
              </w:rPr>
            </w:pPr>
          </w:p>
        </w:tc>
      </w:tr>
      <w:tr w14:paraId="379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tcBorders>
              <w:top w:val="single" w:color="auto" w:sz="4" w:space="0"/>
              <w:left w:val="single" w:color="auto" w:sz="4" w:space="0"/>
              <w:bottom w:val="single" w:color="auto" w:sz="4" w:space="0"/>
              <w:right w:val="single" w:color="auto" w:sz="4" w:space="0"/>
            </w:tcBorders>
            <w:vAlign w:val="center"/>
          </w:tcPr>
          <w:p w14:paraId="25E54EA4">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53" w:type="dxa"/>
            <w:tcBorders>
              <w:top w:val="single" w:color="auto" w:sz="4" w:space="0"/>
              <w:left w:val="single" w:color="auto" w:sz="4" w:space="0"/>
              <w:bottom w:val="single" w:color="auto" w:sz="4" w:space="0"/>
              <w:right w:val="single" w:color="auto" w:sz="4" w:space="0"/>
            </w:tcBorders>
          </w:tcPr>
          <w:p w14:paraId="5B02C415">
            <w:pPr>
              <w:topLinePunct/>
              <w:spacing w:line="440" w:lineRule="exact"/>
              <w:rPr>
                <w:rFonts w:ascii="宋体" w:hAnsi="宋体" w:cs="宋体"/>
                <w:color w:val="auto"/>
                <w:sz w:val="24"/>
                <w:highlight w:val="none"/>
              </w:rPr>
            </w:pPr>
          </w:p>
        </w:tc>
      </w:tr>
      <w:tr w14:paraId="2508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tcBorders>
              <w:top w:val="single" w:color="auto" w:sz="4" w:space="0"/>
              <w:left w:val="single" w:color="auto" w:sz="4" w:space="0"/>
              <w:bottom w:val="single" w:color="auto" w:sz="4" w:space="0"/>
              <w:right w:val="single" w:color="auto" w:sz="4" w:space="0"/>
            </w:tcBorders>
            <w:vAlign w:val="center"/>
          </w:tcPr>
          <w:p w14:paraId="620730B7">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6253" w:type="dxa"/>
            <w:tcBorders>
              <w:top w:val="single" w:color="auto" w:sz="4" w:space="0"/>
              <w:left w:val="single" w:color="auto" w:sz="4" w:space="0"/>
              <w:bottom w:val="single" w:color="auto" w:sz="4" w:space="0"/>
              <w:right w:val="single" w:color="auto" w:sz="4" w:space="0"/>
            </w:tcBorders>
          </w:tcPr>
          <w:p w14:paraId="4D776D51">
            <w:pPr>
              <w:topLinePunct/>
              <w:spacing w:line="440" w:lineRule="exact"/>
              <w:rPr>
                <w:rFonts w:ascii="宋体" w:hAnsi="宋体" w:cs="宋体"/>
                <w:color w:val="auto"/>
                <w:sz w:val="24"/>
                <w:highlight w:val="none"/>
              </w:rPr>
            </w:pPr>
          </w:p>
        </w:tc>
      </w:tr>
      <w:tr w14:paraId="5C44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14:paraId="62C004AF">
            <w:pPr>
              <w:topLinePunct/>
              <w:spacing w:line="44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4919230D">
            <w:pPr>
              <w:topLinePunct/>
              <w:spacing w:line="440" w:lineRule="exact"/>
              <w:rPr>
                <w:rFonts w:ascii="宋体" w:hAnsi="宋体" w:cs="宋体"/>
                <w:color w:val="auto"/>
                <w:sz w:val="24"/>
                <w:highlight w:val="none"/>
              </w:rPr>
            </w:pPr>
          </w:p>
          <w:p w14:paraId="51281EA4">
            <w:pPr>
              <w:topLinePunct/>
              <w:spacing w:line="440" w:lineRule="exact"/>
              <w:rPr>
                <w:rFonts w:ascii="宋体" w:hAnsi="宋体" w:cs="宋体"/>
                <w:color w:val="auto"/>
                <w:sz w:val="24"/>
                <w:highlight w:val="none"/>
              </w:rPr>
            </w:pPr>
          </w:p>
          <w:p w14:paraId="6DE4B3DA">
            <w:pPr>
              <w:topLinePunct/>
              <w:spacing w:line="440" w:lineRule="exact"/>
              <w:rPr>
                <w:rFonts w:ascii="宋体" w:hAnsi="宋体" w:cs="宋体"/>
                <w:color w:val="auto"/>
                <w:sz w:val="24"/>
                <w:highlight w:val="none"/>
              </w:rPr>
            </w:pPr>
          </w:p>
          <w:p w14:paraId="4EF6B979">
            <w:pPr>
              <w:topLinePunct/>
              <w:spacing w:line="440" w:lineRule="exact"/>
              <w:rPr>
                <w:rFonts w:ascii="宋体" w:hAnsi="宋体" w:cs="宋体"/>
                <w:color w:val="auto"/>
                <w:sz w:val="24"/>
                <w:highlight w:val="none"/>
              </w:rPr>
            </w:pPr>
          </w:p>
          <w:p w14:paraId="2EA54E04">
            <w:pPr>
              <w:topLinePunct/>
              <w:spacing w:line="440" w:lineRule="exact"/>
              <w:rPr>
                <w:rFonts w:ascii="宋体" w:hAnsi="宋体" w:cs="宋体"/>
                <w:color w:val="auto"/>
                <w:sz w:val="24"/>
                <w:highlight w:val="none"/>
              </w:rPr>
            </w:pPr>
          </w:p>
          <w:p w14:paraId="0789436E">
            <w:pPr>
              <w:topLinePunct/>
              <w:spacing w:line="440" w:lineRule="exact"/>
              <w:rPr>
                <w:rFonts w:ascii="宋体" w:hAnsi="宋体" w:cs="宋体"/>
                <w:color w:val="auto"/>
                <w:sz w:val="24"/>
                <w:highlight w:val="none"/>
              </w:rPr>
            </w:pPr>
          </w:p>
          <w:p w14:paraId="1AB39064">
            <w:pPr>
              <w:topLinePunct/>
              <w:spacing w:line="440" w:lineRule="exact"/>
              <w:rPr>
                <w:rFonts w:ascii="宋体" w:hAnsi="宋体" w:cs="宋体"/>
                <w:color w:val="auto"/>
                <w:sz w:val="24"/>
                <w:highlight w:val="none"/>
              </w:rPr>
            </w:pPr>
          </w:p>
        </w:tc>
      </w:tr>
      <w:tr w14:paraId="60F1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69" w:type="dxa"/>
            <w:tcBorders>
              <w:top w:val="single" w:color="auto" w:sz="4" w:space="0"/>
              <w:left w:val="single" w:color="auto" w:sz="4" w:space="0"/>
              <w:bottom w:val="single" w:color="auto" w:sz="4" w:space="0"/>
              <w:right w:val="single" w:color="auto" w:sz="4" w:space="0"/>
            </w:tcBorders>
            <w:vAlign w:val="center"/>
          </w:tcPr>
          <w:p w14:paraId="145A1D00">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25528E50">
            <w:pPr>
              <w:topLinePunct/>
              <w:spacing w:line="440" w:lineRule="exact"/>
              <w:rPr>
                <w:rFonts w:ascii="宋体" w:hAnsi="宋体" w:cs="宋体"/>
                <w:color w:val="auto"/>
                <w:sz w:val="24"/>
                <w:highlight w:val="none"/>
              </w:rPr>
            </w:pPr>
          </w:p>
        </w:tc>
      </w:tr>
    </w:tbl>
    <w:p w14:paraId="43E30069">
      <w:pPr>
        <w:spacing w:line="440" w:lineRule="exact"/>
        <w:jc w:val="center"/>
        <w:rPr>
          <w:rFonts w:ascii="宋体" w:hAnsi="宋体" w:cs="宋体"/>
          <w:color w:val="auto"/>
          <w:sz w:val="24"/>
          <w:highlight w:val="none"/>
        </w:rPr>
      </w:pPr>
    </w:p>
    <w:bookmarkEnd w:id="264"/>
    <w:p w14:paraId="6F6683EB">
      <w:pPr>
        <w:spacing w:line="360" w:lineRule="auto"/>
        <w:jc w:val="both"/>
        <w:rPr>
          <w:rFonts w:eastAsia="黑体"/>
          <w:color w:val="000000" w:themeColor="text1"/>
          <w:sz w:val="28"/>
          <w:szCs w:val="28"/>
          <w:highlight w:val="none"/>
          <w14:textFill>
            <w14:solidFill>
              <w14:schemeClr w14:val="tx1"/>
            </w14:solidFill>
          </w14:textFill>
        </w:rPr>
      </w:pPr>
    </w:p>
    <w:p w14:paraId="18067EDF">
      <w:pPr>
        <w:pStyle w:val="28"/>
        <w:rPr>
          <w:rFonts w:eastAsia="黑体"/>
          <w:color w:val="000000" w:themeColor="text1"/>
          <w:sz w:val="28"/>
          <w:szCs w:val="28"/>
          <w:highlight w:val="none"/>
          <w14:textFill>
            <w14:solidFill>
              <w14:schemeClr w14:val="tx1"/>
            </w14:solidFill>
          </w14:textFill>
        </w:rPr>
      </w:pPr>
    </w:p>
    <w:p w14:paraId="167C0A4F">
      <w:pPr>
        <w:pStyle w:val="28"/>
        <w:rPr>
          <w:rFonts w:eastAsia="黑体"/>
          <w:color w:val="000000" w:themeColor="text1"/>
          <w:sz w:val="28"/>
          <w:szCs w:val="28"/>
          <w:highlight w:val="none"/>
          <w14:textFill>
            <w14:solidFill>
              <w14:schemeClr w14:val="tx1"/>
            </w14:solidFill>
          </w14:textFill>
        </w:rPr>
      </w:pPr>
    </w:p>
    <w:p w14:paraId="1830D3ED">
      <w:pPr>
        <w:pStyle w:val="5"/>
        <w:rPr>
          <w:highlight w:val="none"/>
        </w:rPr>
      </w:pPr>
    </w:p>
    <w:p w14:paraId="3D7D2D4E">
      <w:pPr>
        <w:pStyle w:val="43"/>
        <w:ind w:firstLine="210"/>
        <w:rPr>
          <w:rFonts w:ascii="宋体" w:hAnsi="宋体"/>
          <w:color w:val="auto"/>
          <w:szCs w:val="21"/>
          <w:highlight w:val="none"/>
        </w:rPr>
      </w:pPr>
    </w:p>
    <w:p w14:paraId="647FBD7D">
      <w:pPr>
        <w:rPr>
          <w:color w:val="auto"/>
          <w:highlight w:val="none"/>
        </w:rPr>
      </w:pPr>
    </w:p>
    <w:p w14:paraId="5A50032D">
      <w:pPr>
        <w:spacing w:line="360" w:lineRule="auto"/>
        <w:ind w:left="945" w:hanging="525"/>
        <w:rPr>
          <w:rFonts w:ascii="宋体" w:hAnsi="宋体"/>
          <w:color w:val="auto"/>
          <w:szCs w:val="21"/>
          <w:highlight w:val="none"/>
        </w:rPr>
      </w:pPr>
    </w:p>
    <w:p w14:paraId="1EF619F5">
      <w:pPr>
        <w:spacing w:line="360" w:lineRule="auto"/>
        <w:ind w:left="945" w:hanging="525"/>
        <w:rPr>
          <w:rFonts w:ascii="宋体" w:hAnsi="宋体"/>
          <w:color w:val="auto"/>
          <w:szCs w:val="21"/>
          <w:highlight w:val="none"/>
        </w:rPr>
      </w:pPr>
    </w:p>
    <w:p w14:paraId="03EC9EDC">
      <w:pPr>
        <w:spacing w:before="136" w:beforeLines="50" w:after="272" w:afterLines="100" w:line="420" w:lineRule="exact"/>
        <w:jc w:val="center"/>
        <w:rPr>
          <w:rFonts w:hint="eastAsia" w:eastAsia="黑体"/>
          <w:color w:val="auto"/>
          <w:sz w:val="28"/>
          <w:szCs w:val="28"/>
          <w:highlight w:val="none"/>
        </w:rPr>
      </w:pPr>
      <w:r>
        <w:rPr>
          <w:rFonts w:hint="eastAsia" w:eastAsia="黑体"/>
          <w:color w:val="auto"/>
          <w:sz w:val="28"/>
          <w:szCs w:val="28"/>
          <w:highlight w:val="none"/>
          <w:lang w:val="en-US" w:eastAsia="zh-CN"/>
        </w:rPr>
        <w:t>八</w:t>
      </w:r>
      <w:r>
        <w:rPr>
          <w:rFonts w:hint="eastAsia" w:eastAsia="黑体"/>
          <w:color w:val="auto"/>
          <w:sz w:val="28"/>
          <w:szCs w:val="28"/>
          <w:highlight w:val="none"/>
        </w:rPr>
        <w:t>、技术部分</w:t>
      </w:r>
    </w:p>
    <w:p w14:paraId="15FBA953">
      <w:pPr>
        <w:rPr>
          <w:rFonts w:hint="eastAsia" w:eastAsia="黑体"/>
          <w:color w:val="auto"/>
          <w:sz w:val="28"/>
          <w:szCs w:val="28"/>
          <w:highlight w:val="none"/>
        </w:rPr>
      </w:pPr>
      <w:r>
        <w:rPr>
          <w:rFonts w:hint="eastAsia" w:eastAsia="黑体"/>
          <w:color w:val="auto"/>
          <w:sz w:val="28"/>
          <w:szCs w:val="28"/>
          <w:highlight w:val="none"/>
        </w:rPr>
        <w:br w:type="page"/>
      </w:r>
    </w:p>
    <w:p w14:paraId="66FD4AB8">
      <w:pPr>
        <w:spacing w:before="136" w:beforeLines="50" w:after="272" w:afterLines="100" w:line="420" w:lineRule="exact"/>
        <w:jc w:val="center"/>
        <w:rPr>
          <w:rFonts w:hint="eastAsia"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九、技术规范偏离表</w:t>
      </w:r>
    </w:p>
    <w:p w14:paraId="34C7B9A6">
      <w:pPr>
        <w:spacing w:line="360" w:lineRule="auto"/>
        <w:rPr>
          <w:rFonts w:hAnsi="宋体"/>
          <w:snapToGrid w:val="0"/>
          <w:sz w:val="36"/>
          <w:szCs w:val="36"/>
          <w:highlight w:val="none"/>
        </w:rPr>
      </w:pPr>
    </w:p>
    <w:tbl>
      <w:tblPr>
        <w:tblStyle w:val="45"/>
        <w:tblW w:w="8438" w:type="dxa"/>
        <w:tblInd w:w="-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9"/>
        <w:gridCol w:w="2024"/>
        <w:gridCol w:w="2249"/>
        <w:gridCol w:w="1799"/>
        <w:gridCol w:w="1687"/>
      </w:tblGrid>
      <w:tr w14:paraId="2939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880" w:hRule="atLeast"/>
        </w:trPr>
        <w:tc>
          <w:tcPr>
            <w:tcW w:w="679" w:type="dxa"/>
            <w:noWrap w:val="0"/>
            <w:vAlign w:val="center"/>
          </w:tcPr>
          <w:p w14:paraId="6AD10208">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序号</w:t>
            </w:r>
          </w:p>
        </w:tc>
        <w:tc>
          <w:tcPr>
            <w:tcW w:w="2024" w:type="dxa"/>
            <w:noWrap w:val="0"/>
            <w:vAlign w:val="center"/>
          </w:tcPr>
          <w:p w14:paraId="43B537C1">
            <w:pPr>
              <w:spacing w:line="340" w:lineRule="exact"/>
              <w:jc w:val="center"/>
              <w:rPr>
                <w:rFonts w:hint="eastAsia" w:ascii="仿宋" w:hAnsi="仿宋" w:eastAsia="仿宋"/>
                <w:b/>
                <w:snapToGrid w:val="0"/>
                <w:szCs w:val="20"/>
                <w:highlight w:val="none"/>
              </w:rPr>
            </w:pPr>
            <w:r>
              <w:rPr>
                <w:rFonts w:hint="eastAsia" w:ascii="仿宋" w:hAnsi="仿宋" w:eastAsia="仿宋"/>
                <w:b/>
                <w:snapToGrid w:val="0"/>
                <w:szCs w:val="20"/>
                <w:highlight w:val="none"/>
              </w:rPr>
              <w:t>招标文件</w:t>
            </w:r>
          </w:p>
          <w:p w14:paraId="616E4E12">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服务内容及要求</w:t>
            </w:r>
          </w:p>
        </w:tc>
        <w:tc>
          <w:tcPr>
            <w:tcW w:w="2249" w:type="dxa"/>
            <w:noWrap w:val="0"/>
            <w:vAlign w:val="center"/>
          </w:tcPr>
          <w:p w14:paraId="2B7E2DB1">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投标文件对应</w:t>
            </w:r>
          </w:p>
          <w:p w14:paraId="0F05FF4F">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服务内容及要求</w:t>
            </w:r>
          </w:p>
        </w:tc>
        <w:tc>
          <w:tcPr>
            <w:tcW w:w="1799" w:type="dxa"/>
            <w:noWrap w:val="0"/>
            <w:vAlign w:val="center"/>
          </w:tcPr>
          <w:p w14:paraId="6BE77796">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有无偏离</w:t>
            </w:r>
          </w:p>
        </w:tc>
        <w:tc>
          <w:tcPr>
            <w:tcW w:w="1687" w:type="dxa"/>
            <w:noWrap w:val="0"/>
            <w:vAlign w:val="center"/>
          </w:tcPr>
          <w:p w14:paraId="2C73B16F">
            <w:pPr>
              <w:spacing w:line="340" w:lineRule="exact"/>
              <w:jc w:val="center"/>
              <w:rPr>
                <w:rFonts w:ascii="仿宋" w:hAnsi="仿宋" w:eastAsia="仿宋"/>
                <w:b/>
                <w:snapToGrid w:val="0"/>
                <w:szCs w:val="20"/>
                <w:highlight w:val="none"/>
              </w:rPr>
            </w:pPr>
            <w:r>
              <w:rPr>
                <w:rFonts w:hint="eastAsia" w:ascii="仿宋" w:hAnsi="仿宋" w:eastAsia="仿宋"/>
                <w:b/>
                <w:snapToGrid w:val="0"/>
                <w:szCs w:val="20"/>
                <w:highlight w:val="none"/>
              </w:rPr>
              <w:t>备</w:t>
            </w:r>
            <w:r>
              <w:rPr>
                <w:rFonts w:ascii="仿宋" w:hAnsi="仿宋" w:eastAsia="仿宋"/>
                <w:b/>
                <w:snapToGrid w:val="0"/>
                <w:szCs w:val="20"/>
                <w:highlight w:val="none"/>
              </w:rPr>
              <w:t xml:space="preserve"> </w:t>
            </w:r>
            <w:r>
              <w:rPr>
                <w:rFonts w:hint="eastAsia" w:ascii="仿宋" w:hAnsi="仿宋" w:eastAsia="仿宋"/>
                <w:b/>
                <w:snapToGrid w:val="0"/>
                <w:szCs w:val="20"/>
                <w:highlight w:val="none"/>
              </w:rPr>
              <w:t>注</w:t>
            </w:r>
          </w:p>
        </w:tc>
      </w:tr>
      <w:tr w14:paraId="606D2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1" w:hRule="atLeast"/>
        </w:trPr>
        <w:tc>
          <w:tcPr>
            <w:tcW w:w="679" w:type="dxa"/>
            <w:noWrap w:val="0"/>
            <w:vAlign w:val="center"/>
          </w:tcPr>
          <w:p w14:paraId="1D852045">
            <w:pPr>
              <w:rPr>
                <w:rFonts w:ascii="仿宋" w:hAnsi="仿宋" w:eastAsia="仿宋"/>
                <w:snapToGrid w:val="0"/>
                <w:szCs w:val="20"/>
                <w:highlight w:val="none"/>
              </w:rPr>
            </w:pPr>
          </w:p>
        </w:tc>
        <w:tc>
          <w:tcPr>
            <w:tcW w:w="2024" w:type="dxa"/>
            <w:noWrap w:val="0"/>
            <w:vAlign w:val="center"/>
          </w:tcPr>
          <w:p w14:paraId="049C7055">
            <w:pPr>
              <w:rPr>
                <w:rFonts w:ascii="仿宋" w:hAnsi="仿宋" w:eastAsia="仿宋"/>
                <w:snapToGrid w:val="0"/>
                <w:szCs w:val="20"/>
                <w:highlight w:val="none"/>
              </w:rPr>
            </w:pPr>
          </w:p>
        </w:tc>
        <w:tc>
          <w:tcPr>
            <w:tcW w:w="2249" w:type="dxa"/>
            <w:noWrap w:val="0"/>
            <w:vAlign w:val="center"/>
          </w:tcPr>
          <w:p w14:paraId="7B97B4D0">
            <w:pPr>
              <w:rPr>
                <w:rFonts w:ascii="仿宋" w:hAnsi="仿宋" w:eastAsia="仿宋"/>
                <w:snapToGrid w:val="0"/>
                <w:szCs w:val="20"/>
                <w:highlight w:val="none"/>
              </w:rPr>
            </w:pPr>
          </w:p>
        </w:tc>
        <w:tc>
          <w:tcPr>
            <w:tcW w:w="1799" w:type="dxa"/>
            <w:noWrap w:val="0"/>
            <w:vAlign w:val="center"/>
          </w:tcPr>
          <w:p w14:paraId="1DC4A145">
            <w:pPr>
              <w:rPr>
                <w:rFonts w:ascii="仿宋" w:hAnsi="仿宋" w:eastAsia="仿宋"/>
                <w:snapToGrid w:val="0"/>
                <w:szCs w:val="20"/>
                <w:highlight w:val="none"/>
              </w:rPr>
            </w:pPr>
          </w:p>
        </w:tc>
        <w:tc>
          <w:tcPr>
            <w:tcW w:w="1687" w:type="dxa"/>
            <w:noWrap w:val="0"/>
            <w:vAlign w:val="center"/>
          </w:tcPr>
          <w:p w14:paraId="48E0189B">
            <w:pPr>
              <w:rPr>
                <w:rFonts w:ascii="仿宋" w:hAnsi="仿宋" w:eastAsia="仿宋"/>
                <w:snapToGrid w:val="0"/>
                <w:szCs w:val="20"/>
                <w:highlight w:val="none"/>
              </w:rPr>
            </w:pPr>
          </w:p>
        </w:tc>
      </w:tr>
      <w:tr w14:paraId="6908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1" w:hRule="atLeast"/>
        </w:trPr>
        <w:tc>
          <w:tcPr>
            <w:tcW w:w="679" w:type="dxa"/>
            <w:noWrap w:val="0"/>
            <w:vAlign w:val="center"/>
          </w:tcPr>
          <w:p w14:paraId="0963D5C6">
            <w:pPr>
              <w:rPr>
                <w:rFonts w:ascii="仿宋" w:hAnsi="仿宋" w:eastAsia="仿宋"/>
                <w:snapToGrid w:val="0"/>
                <w:szCs w:val="20"/>
                <w:highlight w:val="none"/>
              </w:rPr>
            </w:pPr>
          </w:p>
        </w:tc>
        <w:tc>
          <w:tcPr>
            <w:tcW w:w="2024" w:type="dxa"/>
            <w:noWrap w:val="0"/>
            <w:vAlign w:val="center"/>
          </w:tcPr>
          <w:p w14:paraId="73BA6A62">
            <w:pPr>
              <w:rPr>
                <w:rFonts w:ascii="仿宋" w:hAnsi="仿宋" w:eastAsia="仿宋"/>
                <w:snapToGrid w:val="0"/>
                <w:szCs w:val="20"/>
                <w:highlight w:val="none"/>
              </w:rPr>
            </w:pPr>
          </w:p>
        </w:tc>
        <w:tc>
          <w:tcPr>
            <w:tcW w:w="2249" w:type="dxa"/>
            <w:noWrap w:val="0"/>
            <w:vAlign w:val="center"/>
          </w:tcPr>
          <w:p w14:paraId="428D5BE6">
            <w:pPr>
              <w:rPr>
                <w:rFonts w:ascii="仿宋" w:hAnsi="仿宋" w:eastAsia="仿宋"/>
                <w:snapToGrid w:val="0"/>
                <w:szCs w:val="20"/>
                <w:highlight w:val="none"/>
              </w:rPr>
            </w:pPr>
          </w:p>
        </w:tc>
        <w:tc>
          <w:tcPr>
            <w:tcW w:w="1799" w:type="dxa"/>
            <w:noWrap w:val="0"/>
            <w:vAlign w:val="center"/>
          </w:tcPr>
          <w:p w14:paraId="1C364033">
            <w:pPr>
              <w:rPr>
                <w:rFonts w:ascii="仿宋" w:hAnsi="仿宋" w:eastAsia="仿宋"/>
                <w:snapToGrid w:val="0"/>
                <w:szCs w:val="20"/>
                <w:highlight w:val="none"/>
              </w:rPr>
            </w:pPr>
          </w:p>
        </w:tc>
        <w:tc>
          <w:tcPr>
            <w:tcW w:w="1687" w:type="dxa"/>
            <w:noWrap w:val="0"/>
            <w:vAlign w:val="center"/>
          </w:tcPr>
          <w:p w14:paraId="3693E27D">
            <w:pPr>
              <w:rPr>
                <w:rFonts w:ascii="仿宋" w:hAnsi="仿宋" w:eastAsia="仿宋"/>
                <w:snapToGrid w:val="0"/>
                <w:szCs w:val="20"/>
                <w:highlight w:val="none"/>
              </w:rPr>
            </w:pPr>
          </w:p>
        </w:tc>
      </w:tr>
      <w:tr w14:paraId="1B95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1" w:hRule="atLeast"/>
        </w:trPr>
        <w:tc>
          <w:tcPr>
            <w:tcW w:w="679" w:type="dxa"/>
            <w:noWrap w:val="0"/>
            <w:vAlign w:val="center"/>
          </w:tcPr>
          <w:p w14:paraId="2F6269A4">
            <w:pPr>
              <w:rPr>
                <w:rFonts w:ascii="仿宋" w:hAnsi="仿宋" w:eastAsia="仿宋"/>
                <w:snapToGrid w:val="0"/>
                <w:szCs w:val="20"/>
                <w:highlight w:val="none"/>
              </w:rPr>
            </w:pPr>
          </w:p>
        </w:tc>
        <w:tc>
          <w:tcPr>
            <w:tcW w:w="2024" w:type="dxa"/>
            <w:noWrap w:val="0"/>
            <w:vAlign w:val="center"/>
          </w:tcPr>
          <w:p w14:paraId="0948B91A">
            <w:pPr>
              <w:rPr>
                <w:rFonts w:ascii="仿宋" w:hAnsi="仿宋" w:eastAsia="仿宋"/>
                <w:snapToGrid w:val="0"/>
                <w:szCs w:val="20"/>
                <w:highlight w:val="none"/>
              </w:rPr>
            </w:pPr>
          </w:p>
        </w:tc>
        <w:tc>
          <w:tcPr>
            <w:tcW w:w="2249" w:type="dxa"/>
            <w:noWrap w:val="0"/>
            <w:vAlign w:val="center"/>
          </w:tcPr>
          <w:p w14:paraId="156EF51A">
            <w:pPr>
              <w:rPr>
                <w:rFonts w:ascii="仿宋" w:hAnsi="仿宋" w:eastAsia="仿宋"/>
                <w:snapToGrid w:val="0"/>
                <w:szCs w:val="20"/>
                <w:highlight w:val="none"/>
              </w:rPr>
            </w:pPr>
          </w:p>
        </w:tc>
        <w:tc>
          <w:tcPr>
            <w:tcW w:w="1799" w:type="dxa"/>
            <w:noWrap w:val="0"/>
            <w:vAlign w:val="center"/>
          </w:tcPr>
          <w:p w14:paraId="0E7BE81C">
            <w:pPr>
              <w:rPr>
                <w:rFonts w:ascii="仿宋" w:hAnsi="仿宋" w:eastAsia="仿宋"/>
                <w:snapToGrid w:val="0"/>
                <w:szCs w:val="20"/>
                <w:highlight w:val="none"/>
              </w:rPr>
            </w:pPr>
          </w:p>
        </w:tc>
        <w:tc>
          <w:tcPr>
            <w:tcW w:w="1687" w:type="dxa"/>
            <w:noWrap w:val="0"/>
            <w:vAlign w:val="center"/>
          </w:tcPr>
          <w:p w14:paraId="7E3ACB67">
            <w:pPr>
              <w:rPr>
                <w:rFonts w:ascii="仿宋" w:hAnsi="仿宋" w:eastAsia="仿宋"/>
                <w:snapToGrid w:val="0"/>
                <w:szCs w:val="20"/>
                <w:highlight w:val="none"/>
              </w:rPr>
            </w:pPr>
          </w:p>
        </w:tc>
      </w:tr>
      <w:tr w14:paraId="5CA6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1" w:hRule="atLeast"/>
        </w:trPr>
        <w:tc>
          <w:tcPr>
            <w:tcW w:w="679" w:type="dxa"/>
            <w:noWrap w:val="0"/>
            <w:vAlign w:val="center"/>
          </w:tcPr>
          <w:p w14:paraId="073F1931">
            <w:pPr>
              <w:rPr>
                <w:rFonts w:ascii="仿宋" w:hAnsi="仿宋" w:eastAsia="仿宋"/>
                <w:snapToGrid w:val="0"/>
                <w:szCs w:val="20"/>
                <w:highlight w:val="none"/>
              </w:rPr>
            </w:pPr>
          </w:p>
        </w:tc>
        <w:tc>
          <w:tcPr>
            <w:tcW w:w="2024" w:type="dxa"/>
            <w:noWrap w:val="0"/>
            <w:vAlign w:val="center"/>
          </w:tcPr>
          <w:p w14:paraId="1EC9E733">
            <w:pPr>
              <w:rPr>
                <w:rFonts w:ascii="仿宋" w:hAnsi="仿宋" w:eastAsia="仿宋"/>
                <w:snapToGrid w:val="0"/>
                <w:szCs w:val="20"/>
                <w:highlight w:val="none"/>
              </w:rPr>
            </w:pPr>
          </w:p>
        </w:tc>
        <w:tc>
          <w:tcPr>
            <w:tcW w:w="2249" w:type="dxa"/>
            <w:noWrap w:val="0"/>
            <w:vAlign w:val="center"/>
          </w:tcPr>
          <w:p w14:paraId="056B7825">
            <w:pPr>
              <w:rPr>
                <w:rFonts w:ascii="仿宋" w:hAnsi="仿宋" w:eastAsia="仿宋"/>
                <w:snapToGrid w:val="0"/>
                <w:szCs w:val="20"/>
                <w:highlight w:val="none"/>
              </w:rPr>
            </w:pPr>
          </w:p>
        </w:tc>
        <w:tc>
          <w:tcPr>
            <w:tcW w:w="1799" w:type="dxa"/>
            <w:noWrap w:val="0"/>
            <w:vAlign w:val="center"/>
          </w:tcPr>
          <w:p w14:paraId="3428D264">
            <w:pPr>
              <w:rPr>
                <w:rFonts w:ascii="仿宋" w:hAnsi="仿宋" w:eastAsia="仿宋"/>
                <w:snapToGrid w:val="0"/>
                <w:szCs w:val="20"/>
                <w:highlight w:val="none"/>
              </w:rPr>
            </w:pPr>
          </w:p>
        </w:tc>
        <w:tc>
          <w:tcPr>
            <w:tcW w:w="1687" w:type="dxa"/>
            <w:noWrap w:val="0"/>
            <w:vAlign w:val="center"/>
          </w:tcPr>
          <w:p w14:paraId="538B4B55">
            <w:pPr>
              <w:rPr>
                <w:rFonts w:ascii="仿宋" w:hAnsi="仿宋" w:eastAsia="仿宋"/>
                <w:snapToGrid w:val="0"/>
                <w:szCs w:val="20"/>
                <w:highlight w:val="none"/>
              </w:rPr>
            </w:pPr>
          </w:p>
        </w:tc>
      </w:tr>
      <w:tr w14:paraId="46A3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1" w:hRule="atLeast"/>
        </w:trPr>
        <w:tc>
          <w:tcPr>
            <w:tcW w:w="679" w:type="dxa"/>
            <w:noWrap w:val="0"/>
            <w:vAlign w:val="center"/>
          </w:tcPr>
          <w:p w14:paraId="61706723">
            <w:pPr>
              <w:rPr>
                <w:rFonts w:ascii="仿宋" w:hAnsi="仿宋" w:eastAsia="仿宋"/>
                <w:snapToGrid w:val="0"/>
                <w:szCs w:val="20"/>
                <w:highlight w:val="none"/>
              </w:rPr>
            </w:pPr>
          </w:p>
        </w:tc>
        <w:tc>
          <w:tcPr>
            <w:tcW w:w="2024" w:type="dxa"/>
            <w:noWrap w:val="0"/>
            <w:vAlign w:val="center"/>
          </w:tcPr>
          <w:p w14:paraId="12681731">
            <w:pPr>
              <w:rPr>
                <w:rFonts w:ascii="仿宋" w:hAnsi="仿宋" w:eastAsia="仿宋"/>
                <w:snapToGrid w:val="0"/>
                <w:szCs w:val="20"/>
                <w:highlight w:val="none"/>
              </w:rPr>
            </w:pPr>
          </w:p>
        </w:tc>
        <w:tc>
          <w:tcPr>
            <w:tcW w:w="2249" w:type="dxa"/>
            <w:noWrap w:val="0"/>
            <w:vAlign w:val="center"/>
          </w:tcPr>
          <w:p w14:paraId="58440001">
            <w:pPr>
              <w:rPr>
                <w:rFonts w:ascii="仿宋" w:hAnsi="仿宋" w:eastAsia="仿宋"/>
                <w:snapToGrid w:val="0"/>
                <w:szCs w:val="20"/>
                <w:highlight w:val="none"/>
              </w:rPr>
            </w:pPr>
          </w:p>
        </w:tc>
        <w:tc>
          <w:tcPr>
            <w:tcW w:w="1799" w:type="dxa"/>
            <w:noWrap w:val="0"/>
            <w:vAlign w:val="center"/>
          </w:tcPr>
          <w:p w14:paraId="62F21D89">
            <w:pPr>
              <w:rPr>
                <w:rFonts w:ascii="仿宋" w:hAnsi="仿宋" w:eastAsia="仿宋"/>
                <w:snapToGrid w:val="0"/>
                <w:szCs w:val="20"/>
                <w:highlight w:val="none"/>
              </w:rPr>
            </w:pPr>
          </w:p>
        </w:tc>
        <w:tc>
          <w:tcPr>
            <w:tcW w:w="1687" w:type="dxa"/>
            <w:noWrap w:val="0"/>
            <w:vAlign w:val="center"/>
          </w:tcPr>
          <w:p w14:paraId="505F3084">
            <w:pPr>
              <w:rPr>
                <w:rFonts w:ascii="仿宋" w:hAnsi="仿宋" w:eastAsia="仿宋"/>
                <w:snapToGrid w:val="0"/>
                <w:szCs w:val="20"/>
                <w:highlight w:val="none"/>
              </w:rPr>
            </w:pPr>
          </w:p>
        </w:tc>
      </w:tr>
      <w:tr w14:paraId="5CB6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4" w:hRule="atLeast"/>
        </w:trPr>
        <w:tc>
          <w:tcPr>
            <w:tcW w:w="679" w:type="dxa"/>
            <w:noWrap w:val="0"/>
            <w:vAlign w:val="center"/>
          </w:tcPr>
          <w:p w14:paraId="1F72D87E">
            <w:pPr>
              <w:rPr>
                <w:rFonts w:ascii="仿宋" w:hAnsi="仿宋" w:eastAsia="仿宋"/>
                <w:snapToGrid w:val="0"/>
                <w:szCs w:val="20"/>
                <w:highlight w:val="none"/>
              </w:rPr>
            </w:pPr>
          </w:p>
        </w:tc>
        <w:tc>
          <w:tcPr>
            <w:tcW w:w="2024" w:type="dxa"/>
            <w:noWrap w:val="0"/>
            <w:vAlign w:val="center"/>
          </w:tcPr>
          <w:p w14:paraId="70A5B5EC">
            <w:pPr>
              <w:rPr>
                <w:rFonts w:ascii="仿宋" w:hAnsi="仿宋" w:eastAsia="仿宋"/>
                <w:snapToGrid w:val="0"/>
                <w:szCs w:val="20"/>
                <w:highlight w:val="none"/>
              </w:rPr>
            </w:pPr>
          </w:p>
        </w:tc>
        <w:tc>
          <w:tcPr>
            <w:tcW w:w="2249" w:type="dxa"/>
            <w:noWrap w:val="0"/>
            <w:vAlign w:val="center"/>
          </w:tcPr>
          <w:p w14:paraId="67898E1F">
            <w:pPr>
              <w:rPr>
                <w:rFonts w:ascii="仿宋" w:hAnsi="仿宋" w:eastAsia="仿宋"/>
                <w:snapToGrid w:val="0"/>
                <w:szCs w:val="20"/>
                <w:highlight w:val="none"/>
              </w:rPr>
            </w:pPr>
          </w:p>
        </w:tc>
        <w:tc>
          <w:tcPr>
            <w:tcW w:w="1799" w:type="dxa"/>
            <w:noWrap w:val="0"/>
            <w:vAlign w:val="center"/>
          </w:tcPr>
          <w:p w14:paraId="5CFAEF86">
            <w:pPr>
              <w:rPr>
                <w:rFonts w:ascii="仿宋" w:hAnsi="仿宋" w:eastAsia="仿宋"/>
                <w:snapToGrid w:val="0"/>
                <w:szCs w:val="20"/>
                <w:highlight w:val="none"/>
              </w:rPr>
            </w:pPr>
          </w:p>
        </w:tc>
        <w:tc>
          <w:tcPr>
            <w:tcW w:w="1687" w:type="dxa"/>
            <w:noWrap w:val="0"/>
            <w:vAlign w:val="center"/>
          </w:tcPr>
          <w:p w14:paraId="688C1126">
            <w:pPr>
              <w:rPr>
                <w:rFonts w:ascii="仿宋" w:hAnsi="仿宋" w:eastAsia="仿宋"/>
                <w:snapToGrid w:val="0"/>
                <w:szCs w:val="20"/>
                <w:highlight w:val="none"/>
              </w:rPr>
            </w:pPr>
          </w:p>
        </w:tc>
      </w:tr>
    </w:tbl>
    <w:p w14:paraId="7974493A">
      <w:pPr>
        <w:spacing w:line="400" w:lineRule="exact"/>
        <w:rPr>
          <w:snapToGrid w:val="0"/>
          <w:szCs w:val="20"/>
          <w:highlight w:val="none"/>
        </w:rPr>
      </w:pPr>
    </w:p>
    <w:p w14:paraId="647822FE">
      <w:pPr>
        <w:spacing w:after="120"/>
        <w:ind w:left="315" w:leftChars="150"/>
        <w:rPr>
          <w:rFonts w:ascii="仿宋" w:hAnsi="仿宋" w:eastAsia="仿宋"/>
          <w:i/>
          <w:iCs/>
          <w:snapToGrid w:val="0"/>
          <w:sz w:val="36"/>
          <w:szCs w:val="20"/>
          <w:highlight w:val="none"/>
        </w:rPr>
      </w:pPr>
      <w:r>
        <w:rPr>
          <w:rFonts w:hint="eastAsia" w:ascii="仿宋" w:hAnsi="仿宋" w:eastAsia="仿宋"/>
          <w:i/>
          <w:iCs/>
          <w:snapToGrid w:val="0"/>
          <w:sz w:val="36"/>
          <w:szCs w:val="20"/>
          <w:highlight w:val="none"/>
        </w:rPr>
        <w:t xml:space="preserve">[注意] </w:t>
      </w:r>
    </w:p>
    <w:p w14:paraId="41E37DD2">
      <w:pPr>
        <w:spacing w:after="120"/>
        <w:ind w:left="315" w:leftChars="150"/>
        <w:rPr>
          <w:rFonts w:ascii="仿宋" w:hAnsi="仿宋" w:eastAsia="仿宋" w:cs="宋体"/>
          <w:sz w:val="24"/>
          <w:szCs w:val="20"/>
          <w:highlight w:val="none"/>
        </w:rPr>
      </w:pPr>
      <w:r>
        <w:rPr>
          <w:rFonts w:hint="eastAsia" w:ascii="仿宋" w:hAnsi="仿宋" w:eastAsia="仿宋" w:cs="宋体"/>
          <w:sz w:val="24"/>
          <w:szCs w:val="20"/>
          <w:highlight w:val="none"/>
        </w:rPr>
        <w:t>1.投标人应当逐条对照招标文件第五章</w:t>
      </w:r>
      <w:r>
        <w:rPr>
          <w:rFonts w:hint="eastAsia" w:ascii="仿宋" w:hAnsi="仿宋" w:eastAsia="仿宋" w:cs="宋体"/>
          <w:sz w:val="24"/>
          <w:szCs w:val="20"/>
          <w:highlight w:val="none"/>
          <w:lang w:eastAsia="zh-CN"/>
        </w:rPr>
        <w:t>采购需求</w:t>
      </w:r>
      <w:r>
        <w:rPr>
          <w:rFonts w:hint="eastAsia" w:ascii="仿宋" w:hAnsi="仿宋" w:eastAsia="仿宋" w:cs="宋体"/>
          <w:sz w:val="24"/>
          <w:szCs w:val="20"/>
          <w:highlight w:val="none"/>
        </w:rPr>
        <w:t>，就投标文件对技术条款存在的偏差与例外逐条做出说明；</w:t>
      </w:r>
    </w:p>
    <w:p w14:paraId="61D4E953">
      <w:pPr>
        <w:spacing w:after="120"/>
        <w:ind w:left="315" w:leftChars="150"/>
        <w:rPr>
          <w:rFonts w:ascii="仿宋" w:hAnsi="仿宋" w:eastAsia="仿宋" w:cs="宋体"/>
          <w:sz w:val="24"/>
          <w:szCs w:val="20"/>
          <w:highlight w:val="none"/>
        </w:rPr>
      </w:pPr>
      <w:r>
        <w:rPr>
          <w:rFonts w:hint="eastAsia" w:ascii="仿宋" w:hAnsi="仿宋" w:eastAsia="仿宋" w:cs="宋体"/>
          <w:sz w:val="24"/>
          <w:szCs w:val="20"/>
          <w:highlight w:val="none"/>
        </w:rPr>
        <w:t>2.如投标文件对技术条款无任何偏差，投标人无需点对点应答，仅需在本偏离表中填写“无偏离”或空白即可，但需加盖公章。</w:t>
      </w:r>
    </w:p>
    <w:p w14:paraId="48549D05">
      <w:pPr>
        <w:spacing w:after="120"/>
        <w:ind w:left="315" w:leftChars="150"/>
        <w:rPr>
          <w:rFonts w:ascii="仿宋" w:hAnsi="仿宋" w:eastAsia="仿宋" w:cs="宋体"/>
          <w:sz w:val="24"/>
          <w:szCs w:val="20"/>
          <w:highlight w:val="none"/>
        </w:rPr>
      </w:pPr>
      <w:r>
        <w:rPr>
          <w:rFonts w:hint="eastAsia" w:ascii="仿宋" w:hAnsi="仿宋" w:eastAsia="仿宋" w:cs="宋体"/>
          <w:sz w:val="24"/>
          <w:szCs w:val="20"/>
          <w:highlight w:val="none"/>
        </w:rPr>
        <w:t>此表必须按照本文件中第五章</w:t>
      </w:r>
      <w:r>
        <w:rPr>
          <w:rFonts w:hint="eastAsia" w:ascii="仿宋" w:hAnsi="仿宋" w:eastAsia="仿宋" w:cs="宋体"/>
          <w:sz w:val="24"/>
          <w:szCs w:val="20"/>
          <w:highlight w:val="none"/>
          <w:lang w:eastAsia="zh-CN"/>
        </w:rPr>
        <w:t>采购需求</w:t>
      </w:r>
      <w:r>
        <w:rPr>
          <w:rFonts w:hint="eastAsia" w:ascii="仿宋" w:hAnsi="仿宋" w:eastAsia="仿宋" w:cs="宋体"/>
          <w:sz w:val="24"/>
          <w:szCs w:val="20"/>
          <w:highlight w:val="none"/>
        </w:rPr>
        <w:t>认真填报，否则投标无效。</w:t>
      </w:r>
    </w:p>
    <w:p w14:paraId="6B885D38">
      <w:pPr>
        <w:spacing w:line="360" w:lineRule="auto"/>
        <w:rPr>
          <w:rFonts w:ascii="仿宋" w:hAnsi="仿宋" w:eastAsia="仿宋"/>
          <w:snapToGrid w:val="0"/>
          <w:szCs w:val="20"/>
          <w:highlight w:val="none"/>
        </w:rPr>
      </w:pPr>
    </w:p>
    <w:p w14:paraId="20056800">
      <w:pPr>
        <w:spacing w:line="440" w:lineRule="exact"/>
        <w:jc w:val="right"/>
        <w:rPr>
          <w:rFonts w:ascii="仿宋" w:hAnsi="仿宋" w:eastAsia="仿宋"/>
          <w:sz w:val="24"/>
          <w:szCs w:val="20"/>
          <w:highlight w:val="none"/>
        </w:rPr>
      </w:pPr>
      <w:r>
        <w:rPr>
          <w:rFonts w:hint="eastAsia" w:ascii="仿宋" w:hAnsi="仿宋" w:eastAsia="仿宋"/>
          <w:snapToGrid w:val="0"/>
          <w:sz w:val="24"/>
          <w:szCs w:val="20"/>
          <w:highlight w:val="none"/>
        </w:rPr>
        <w:t xml:space="preserve">           </w:t>
      </w:r>
      <w:r>
        <w:rPr>
          <w:rFonts w:hint="eastAsia" w:ascii="仿宋" w:hAnsi="仿宋" w:eastAsia="仿宋"/>
          <w:sz w:val="24"/>
          <w:szCs w:val="20"/>
          <w:highlight w:val="none"/>
        </w:rPr>
        <w:t xml:space="preserve">      投标人名称（盖投标人公章）： </w:t>
      </w:r>
    </w:p>
    <w:p w14:paraId="2122754A">
      <w:pPr>
        <w:spacing w:line="440" w:lineRule="exact"/>
        <w:jc w:val="right"/>
        <w:rPr>
          <w:rFonts w:ascii="仿宋" w:hAnsi="仿宋" w:eastAsia="仿宋"/>
          <w:sz w:val="24"/>
          <w:szCs w:val="20"/>
          <w:highlight w:val="none"/>
        </w:rPr>
      </w:pPr>
      <w:r>
        <w:rPr>
          <w:rFonts w:hint="eastAsia" w:ascii="仿宋" w:hAnsi="仿宋" w:eastAsia="仿宋"/>
          <w:sz w:val="24"/>
          <w:szCs w:val="20"/>
          <w:highlight w:val="none"/>
        </w:rPr>
        <w:t xml:space="preserve">                           法定代表人或授权委托人（签字或盖章）：</w:t>
      </w:r>
    </w:p>
    <w:p w14:paraId="183C7E8D">
      <w:pPr>
        <w:spacing w:line="440" w:lineRule="exact"/>
        <w:jc w:val="right"/>
        <w:rPr>
          <w:rFonts w:ascii="仿宋" w:hAnsi="仿宋" w:eastAsia="仿宋"/>
          <w:sz w:val="24"/>
          <w:szCs w:val="20"/>
          <w:highlight w:val="none"/>
        </w:rPr>
      </w:pPr>
      <w:r>
        <w:rPr>
          <w:rFonts w:hint="eastAsia" w:ascii="仿宋" w:hAnsi="仿宋" w:eastAsia="仿宋"/>
          <w:sz w:val="24"/>
          <w:szCs w:val="20"/>
          <w:highlight w:val="none"/>
        </w:rPr>
        <w:t>日   期：</w:t>
      </w:r>
    </w:p>
    <w:p w14:paraId="728D4DBD">
      <w:pPr>
        <w:spacing w:before="136" w:beforeLines="50" w:after="272" w:afterLines="100" w:line="420" w:lineRule="exact"/>
        <w:jc w:val="both"/>
        <w:rPr>
          <w:rFonts w:eastAsia="黑体"/>
          <w:color w:val="auto"/>
          <w:sz w:val="28"/>
          <w:szCs w:val="28"/>
          <w:highlight w:val="none"/>
        </w:rPr>
      </w:pPr>
      <w:r>
        <w:rPr>
          <w:rFonts w:ascii="宋体" w:hAnsi="宋体"/>
          <w:color w:val="auto"/>
          <w:highlight w:val="none"/>
        </w:rPr>
        <w:br w:type="page"/>
      </w:r>
    </w:p>
    <w:p w14:paraId="486EE9CD">
      <w:pPr>
        <w:spacing w:before="136" w:beforeLines="50" w:after="272" w:afterLines="100" w:line="420" w:lineRule="exact"/>
        <w:jc w:val="center"/>
        <w:rPr>
          <w:rFonts w:eastAsia="黑体"/>
          <w:color w:val="auto"/>
          <w:sz w:val="28"/>
          <w:szCs w:val="28"/>
          <w:highlight w:val="none"/>
        </w:rPr>
      </w:pPr>
      <w:r>
        <w:rPr>
          <w:rFonts w:hint="eastAsia" w:eastAsia="黑体"/>
          <w:color w:val="auto"/>
          <w:sz w:val="28"/>
          <w:szCs w:val="28"/>
          <w:highlight w:val="none"/>
          <w:lang w:val="en-US" w:eastAsia="zh-CN"/>
        </w:rPr>
        <w:t>十</w:t>
      </w:r>
      <w:r>
        <w:rPr>
          <w:rFonts w:hint="eastAsia" w:eastAsia="黑体"/>
          <w:color w:val="auto"/>
          <w:sz w:val="28"/>
          <w:szCs w:val="28"/>
          <w:highlight w:val="none"/>
          <w:lang w:eastAsia="zh-CN"/>
        </w:rPr>
        <w:t>、</w:t>
      </w:r>
      <w:r>
        <w:rPr>
          <w:rFonts w:hint="eastAsia" w:eastAsia="黑体"/>
          <w:color w:val="auto"/>
          <w:sz w:val="28"/>
          <w:szCs w:val="28"/>
          <w:highlight w:val="none"/>
        </w:rPr>
        <w:t>无行贿犯罪记录和未被列入失信被执行人名单承诺书</w:t>
      </w:r>
    </w:p>
    <w:p w14:paraId="4E736D7D">
      <w:pPr>
        <w:pStyle w:val="43"/>
        <w:ind w:firstLine="210"/>
        <w:rPr>
          <w:rFonts w:ascii="宋体" w:hAnsi="宋体" w:cs="宋体"/>
          <w:color w:val="auto"/>
          <w:highlight w:val="none"/>
        </w:rPr>
      </w:pPr>
    </w:p>
    <w:p w14:paraId="3F33A7B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为确保：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项目可以顺利进行</w:t>
      </w:r>
      <w:r>
        <w:rPr>
          <w:rFonts w:hint="eastAsia" w:ascii="宋体" w:hAnsi="宋体" w:cs="宋体"/>
          <w:color w:val="auto"/>
          <w:szCs w:val="21"/>
          <w:highlight w:val="none"/>
          <w:lang w:eastAsia="zh-CN"/>
        </w:rPr>
        <w:t>，</w:t>
      </w:r>
      <w:r>
        <w:rPr>
          <w:rFonts w:hint="eastAsia" w:ascii="宋体" w:hAnsi="宋体" w:cs="宋体"/>
          <w:color w:val="auto"/>
          <w:szCs w:val="21"/>
          <w:highlight w:val="none"/>
        </w:rPr>
        <w:t>本企业郑重承诺：</w:t>
      </w:r>
    </w:p>
    <w:p w14:paraId="1E9A104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1、潜在投标人及法定代表人在“信用中国”网站（http://www.creditchina.gov.cn）中未被列入失信被执行人名单，以实际查询结果为准。（后附查询截图）</w:t>
      </w:r>
    </w:p>
    <w:p w14:paraId="17003647">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2、潜在投标人及法定代表人近三年内（2023年04月01日至响应文件递交截止日）没有行贿犯罪记录（行贿犯罪记录以中国裁判文书网http://wenshu.court.gov.cn/的实际查询结果为准）。（后附查询截图）</w:t>
      </w:r>
    </w:p>
    <w:p w14:paraId="5D47F55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拟参加本项目的潜在投标人未被列入严重违法失信企业名单及企业经营异常名录；以国家企业信用信息公示系统（http://www.gsxt.gov.cn/）实际查询结果为准</w:t>
      </w:r>
      <w:r>
        <w:rPr>
          <w:rFonts w:hint="eastAsia" w:ascii="宋体" w:hAnsi="宋体" w:eastAsia="宋体" w:cs="宋体"/>
          <w:color w:val="auto"/>
          <w:szCs w:val="21"/>
          <w:highlight w:val="none"/>
          <w:lang w:val="en-US" w:eastAsia="zh-CN"/>
        </w:rPr>
        <w:t>，以网站查询结果为准。</w:t>
      </w:r>
      <w:r>
        <w:rPr>
          <w:rFonts w:hint="eastAsia" w:ascii="宋体" w:hAnsi="宋体" w:cs="宋体"/>
          <w:color w:val="auto"/>
          <w:szCs w:val="21"/>
          <w:highlight w:val="none"/>
          <w:lang w:val="en-US" w:eastAsia="zh-CN"/>
        </w:rPr>
        <w:t>（后附查询截图）</w:t>
      </w:r>
    </w:p>
    <w:p w14:paraId="5C8E681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4、我单位承诺所提供材料真实、合法、有效。如隐瞒有关情况或者提供虚假材料，招标人可以不退还我方递交的评审保证金，我单位自愿接受有关部门依法做出的处理决定，并承担法律责任。</w:t>
      </w:r>
    </w:p>
    <w:p w14:paraId="556F2AD7">
      <w:pPr>
        <w:spacing w:line="430" w:lineRule="exact"/>
        <w:rPr>
          <w:rFonts w:ascii="宋体" w:hAnsi="宋体" w:cs="宋体"/>
          <w:color w:val="auto"/>
          <w:szCs w:val="21"/>
          <w:highlight w:val="none"/>
        </w:rPr>
      </w:pPr>
    </w:p>
    <w:p w14:paraId="72E90D4B">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承诺单位（</w:t>
      </w:r>
      <w:r>
        <w:rPr>
          <w:rFonts w:hint="eastAsia" w:ascii="Calibri" w:hAnsi="Calibri"/>
          <w:color w:val="auto"/>
          <w:szCs w:val="22"/>
          <w:highlight w:val="none"/>
        </w:rPr>
        <w:t>单位</w:t>
      </w:r>
      <w:r>
        <w:rPr>
          <w:rFonts w:ascii="Calibri" w:hAnsi="Calibri"/>
          <w:color w:val="auto"/>
          <w:szCs w:val="22"/>
          <w:highlight w:val="none"/>
        </w:rPr>
        <w:t>公章</w:t>
      </w:r>
      <w:r>
        <w:rPr>
          <w:rFonts w:hint="eastAsia" w:ascii="宋体" w:hAnsi="宋体" w:cs="宋体"/>
          <w:color w:val="auto"/>
          <w:szCs w:val="21"/>
          <w:highlight w:val="none"/>
        </w:rPr>
        <w:t>）：</w:t>
      </w:r>
    </w:p>
    <w:p w14:paraId="3C940A5D">
      <w:pPr>
        <w:spacing w:line="430" w:lineRule="exact"/>
        <w:ind w:firstLine="315" w:firstLineChars="150"/>
        <w:rPr>
          <w:rFonts w:ascii="宋体" w:hAnsi="宋体" w:cs="宋体"/>
          <w:color w:val="auto"/>
          <w:szCs w:val="21"/>
          <w:highlight w:val="none"/>
        </w:rPr>
      </w:pPr>
    </w:p>
    <w:p w14:paraId="6455F93D">
      <w:pPr>
        <w:spacing w:line="43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15D7BE9D">
      <w:pPr>
        <w:spacing w:line="430" w:lineRule="exact"/>
        <w:ind w:left="3885" w:hanging="3885" w:hangingChars="185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4B98445B">
      <w:pPr>
        <w:pStyle w:val="5"/>
        <w:spacing w:after="0" w:line="420" w:lineRule="exact"/>
        <w:ind w:right="420"/>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3553757">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1CDA3F6F">
      <w:pPr>
        <w:numPr>
          <w:ilvl w:val="0"/>
          <w:numId w:val="0"/>
        </w:numPr>
        <w:spacing w:before="136" w:beforeLines="50" w:after="272" w:afterLines="100" w:line="420" w:lineRule="exact"/>
        <w:jc w:val="center"/>
        <w:rPr>
          <w:rFonts w:hint="eastAsia" w:eastAsia="黑体"/>
          <w:color w:val="auto"/>
          <w:sz w:val="28"/>
          <w:szCs w:val="28"/>
          <w:highlight w:val="none"/>
          <w:lang w:eastAsia="zh-CN"/>
        </w:rPr>
      </w:pPr>
      <w:r>
        <w:rPr>
          <w:rFonts w:hint="eastAsia" w:eastAsia="黑体"/>
          <w:color w:val="auto"/>
          <w:sz w:val="28"/>
          <w:szCs w:val="28"/>
          <w:highlight w:val="none"/>
          <w:lang w:val="en-US" w:eastAsia="zh-CN"/>
        </w:rPr>
        <w:t>十一、</w:t>
      </w:r>
      <w:r>
        <w:rPr>
          <w:rFonts w:hint="eastAsia" w:eastAsia="黑体"/>
          <w:color w:val="auto"/>
          <w:sz w:val="28"/>
          <w:szCs w:val="28"/>
          <w:highlight w:val="none"/>
          <w:lang w:eastAsia="zh-CN"/>
        </w:rPr>
        <w:t>履约能力承诺</w:t>
      </w:r>
    </w:p>
    <w:p w14:paraId="1AA3E4A7">
      <w:pPr>
        <w:pStyle w:val="43"/>
        <w:rPr>
          <w:rFonts w:hint="eastAsia"/>
          <w:color w:val="auto"/>
          <w:highlight w:val="none"/>
          <w:lang w:eastAsia="zh-CN"/>
        </w:rPr>
      </w:pPr>
    </w:p>
    <w:p w14:paraId="72E112A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本企业郑重承诺：</w:t>
      </w:r>
    </w:p>
    <w:p w14:paraId="29ABD74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我单位在中华人民共和国境内注册，具有独立承担民事责任的能力，具备有效的营业执照，开户许可证</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lang w:val="en-US" w:eastAsia="zh-CN"/>
        </w:rPr>
        <w:t>基本存款账户信息，并在人员、设备、资金、技术等方面具有履行合同所必须的能力。我单位承诺所提供材料真实、合法、有效。如隐瞒有关情况或者提供虚假材料，招标人可以不退还我方递交的</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val="en-US" w:eastAsia="zh-CN"/>
        </w:rPr>
        <w:t>保证金，我单位自愿接受有关部门依法做出的处理决定，并承担法律责任。</w:t>
      </w:r>
    </w:p>
    <w:p w14:paraId="21550E74">
      <w:pPr>
        <w:numPr>
          <w:ilvl w:val="0"/>
          <w:numId w:val="0"/>
        </w:numPr>
        <w:spacing w:before="136" w:beforeLines="50" w:after="272" w:afterLines="100" w:line="360" w:lineRule="auto"/>
        <w:jc w:val="left"/>
        <w:rPr>
          <w:rFonts w:hint="eastAsia" w:ascii="宋体" w:hAnsi="宋体" w:cs="宋体"/>
          <w:color w:val="auto"/>
          <w:kern w:val="0"/>
          <w:sz w:val="28"/>
          <w:szCs w:val="28"/>
          <w:highlight w:val="none"/>
        </w:rPr>
      </w:pPr>
    </w:p>
    <w:p w14:paraId="1705100C">
      <w:pPr>
        <w:numPr>
          <w:ilvl w:val="0"/>
          <w:numId w:val="0"/>
        </w:numPr>
        <w:spacing w:before="136" w:beforeLines="50" w:after="272" w:afterLines="100" w:line="360" w:lineRule="auto"/>
        <w:jc w:val="left"/>
        <w:rPr>
          <w:rFonts w:hint="eastAsia" w:ascii="宋体" w:hAnsi="宋体" w:cs="宋体"/>
          <w:color w:val="auto"/>
          <w:kern w:val="0"/>
          <w:sz w:val="28"/>
          <w:szCs w:val="28"/>
          <w:highlight w:val="none"/>
        </w:rPr>
      </w:pPr>
    </w:p>
    <w:p w14:paraId="0BA6366C">
      <w:pPr>
        <w:numPr>
          <w:ilvl w:val="0"/>
          <w:numId w:val="0"/>
        </w:numPr>
        <w:spacing w:before="136" w:beforeLines="50" w:after="272" w:afterLines="100" w:line="360" w:lineRule="auto"/>
        <w:jc w:val="left"/>
        <w:rPr>
          <w:rFonts w:hint="eastAsia" w:ascii="宋体" w:hAnsi="宋体" w:cs="宋体"/>
          <w:color w:val="auto"/>
          <w:kern w:val="0"/>
          <w:sz w:val="28"/>
          <w:szCs w:val="28"/>
          <w:highlight w:val="none"/>
        </w:rPr>
      </w:pPr>
    </w:p>
    <w:p w14:paraId="5A1481FE">
      <w:pPr>
        <w:spacing w:line="430" w:lineRule="exact"/>
        <w:ind w:firstLine="315" w:firstLineChars="150"/>
        <w:rPr>
          <w:rFonts w:hint="eastAsia" w:ascii="Calibri" w:hAnsi="Calibri" w:eastAsia="宋体"/>
          <w:color w:val="auto"/>
          <w:szCs w:val="22"/>
          <w:highlight w:val="none"/>
        </w:rPr>
      </w:pPr>
    </w:p>
    <w:p w14:paraId="7A055F0A">
      <w:pPr>
        <w:spacing w:line="430" w:lineRule="exact"/>
        <w:ind w:firstLine="315" w:firstLineChars="150"/>
        <w:rPr>
          <w:rFonts w:hint="eastAsia" w:ascii="Calibri" w:hAnsi="Calibri" w:eastAsia="宋体"/>
          <w:color w:val="auto"/>
          <w:szCs w:val="22"/>
          <w:highlight w:val="none"/>
        </w:rPr>
      </w:pPr>
      <w:r>
        <w:rPr>
          <w:rFonts w:hint="eastAsia" w:ascii="Calibri" w:hAnsi="Calibri" w:eastAsia="宋体"/>
          <w:color w:val="auto"/>
          <w:szCs w:val="22"/>
          <w:highlight w:val="none"/>
        </w:rPr>
        <w:t>承诺单位（单位公章）：</w:t>
      </w:r>
    </w:p>
    <w:p w14:paraId="45873E50">
      <w:pPr>
        <w:spacing w:line="430" w:lineRule="exact"/>
        <w:ind w:firstLine="315" w:firstLineChars="150"/>
        <w:rPr>
          <w:rFonts w:hint="eastAsia" w:ascii="Calibri" w:hAnsi="Calibri" w:eastAsia="宋体"/>
          <w:color w:val="auto"/>
          <w:szCs w:val="22"/>
          <w:highlight w:val="none"/>
        </w:rPr>
      </w:pPr>
    </w:p>
    <w:p w14:paraId="112B8B41">
      <w:pPr>
        <w:spacing w:line="430" w:lineRule="exact"/>
        <w:ind w:firstLine="315" w:firstLineChars="150"/>
        <w:rPr>
          <w:rFonts w:hint="eastAsia" w:ascii="Calibri" w:hAnsi="Calibri" w:eastAsia="宋体"/>
          <w:color w:val="auto"/>
          <w:szCs w:val="22"/>
          <w:highlight w:val="none"/>
        </w:rPr>
      </w:pPr>
      <w:r>
        <w:rPr>
          <w:rFonts w:hint="eastAsia" w:ascii="Calibri" w:hAnsi="Calibri" w:eastAsia="宋体"/>
          <w:color w:val="auto"/>
          <w:szCs w:val="22"/>
          <w:highlight w:val="none"/>
        </w:rPr>
        <w:t>法定代表人（签字或盖章）：</w:t>
      </w:r>
    </w:p>
    <w:p w14:paraId="1BB6D038">
      <w:pPr>
        <w:numPr>
          <w:ilvl w:val="0"/>
          <w:numId w:val="0"/>
        </w:numPr>
        <w:spacing w:before="136" w:beforeLines="50" w:after="272" w:afterLines="100" w:line="360" w:lineRule="auto"/>
        <w:ind w:left="0" w:firstLine="0" w:firstLineChars="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E1FD304">
      <w:pPr>
        <w:numPr>
          <w:ilvl w:val="0"/>
          <w:numId w:val="0"/>
        </w:numPr>
        <w:spacing w:before="136" w:beforeLines="50" w:after="272" w:afterLines="10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Cs w:val="21"/>
          <w:highlight w:val="none"/>
          <w:lang w:val="en-US" w:eastAsia="zh-CN"/>
        </w:rPr>
        <w:t xml:space="preserve">    年   月   日</w:t>
      </w:r>
    </w:p>
    <w:p w14:paraId="31963A0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1F64B970">
      <w:pPr>
        <w:spacing w:line="360" w:lineRule="auto"/>
        <w:ind w:firstLine="482" w:firstLineChars="150"/>
        <w:jc w:val="center"/>
        <w:rPr>
          <w:rFonts w:ascii="Times New Roman" w:hAnsi="Times New Roman"/>
          <w:szCs w:val="20"/>
          <w:highlight w:val="none"/>
        </w:rPr>
      </w:pPr>
      <w:r>
        <w:rPr>
          <w:rStyle w:val="276"/>
          <w:rFonts w:hint="eastAsia" w:ascii="仿宋" w:hAnsi="仿宋" w:eastAsia="仿宋" w:cs="仿宋"/>
          <w:highlight w:val="none"/>
        </w:rPr>
        <w:t>控股、管理关系</w:t>
      </w:r>
      <w:r>
        <w:rPr>
          <w:rStyle w:val="276"/>
          <w:rFonts w:ascii="仿宋" w:hAnsi="仿宋" w:eastAsia="仿宋" w:cs="仿宋"/>
          <w:highlight w:val="none"/>
        </w:rPr>
        <w:t>承诺</w:t>
      </w:r>
    </w:p>
    <w:p w14:paraId="5E24C470">
      <w:pPr>
        <w:spacing w:line="360" w:lineRule="auto"/>
        <w:ind w:firstLine="420" w:firstLineChars="200"/>
        <w:rPr>
          <w:rFonts w:ascii="仿宋" w:hAnsi="仿宋" w:eastAsia="仿宋" w:cs="仿宋"/>
          <w:color w:val="000000"/>
          <w:kern w:val="0"/>
          <w:szCs w:val="21"/>
          <w:highlight w:val="none"/>
        </w:rPr>
      </w:pPr>
      <w:r>
        <w:rPr>
          <w:rFonts w:ascii="仿宋" w:hAnsi="仿宋" w:eastAsia="仿宋" w:cs="仿宋"/>
          <w:color w:val="000000"/>
          <w:kern w:val="0"/>
          <w:szCs w:val="21"/>
          <w:highlight w:val="none"/>
        </w:rPr>
        <w:t>本企业郑重承诺：</w:t>
      </w:r>
    </w:p>
    <w:p w14:paraId="4C6F9042">
      <w:pPr>
        <w:spacing w:line="360" w:lineRule="auto"/>
        <w:ind w:firstLine="420" w:firstLineChars="200"/>
        <w:rPr>
          <w:rFonts w:ascii="仿宋" w:hAnsi="仿宋" w:eastAsia="仿宋" w:cs="仿宋"/>
          <w:color w:val="000000"/>
          <w:kern w:val="0"/>
          <w:szCs w:val="21"/>
          <w:highlight w:val="none"/>
        </w:rPr>
      </w:pPr>
      <w:r>
        <w:rPr>
          <w:rFonts w:ascii="仿宋" w:hAnsi="仿宋" w:eastAsia="仿宋" w:cs="仿宋"/>
          <w:color w:val="000000"/>
          <w:kern w:val="0"/>
          <w:szCs w:val="21"/>
          <w:highlight w:val="none"/>
        </w:rPr>
        <w:t>我方承诺：</w:t>
      </w:r>
      <w:r>
        <w:rPr>
          <w:rFonts w:hint="eastAsia" w:ascii="仿宋" w:hAnsi="仿宋" w:eastAsia="仿宋" w:cs="仿宋"/>
          <w:color w:val="000000"/>
          <w:kern w:val="0"/>
          <w:szCs w:val="21"/>
          <w:highlight w:val="none"/>
        </w:rPr>
        <w:t>我公司</w:t>
      </w:r>
      <w:r>
        <w:rPr>
          <w:rFonts w:ascii="仿宋" w:hAnsi="仿宋" w:eastAsia="仿宋" w:cs="仿宋"/>
          <w:color w:val="000000"/>
          <w:kern w:val="0"/>
          <w:szCs w:val="21"/>
          <w:highlight w:val="none"/>
        </w:rPr>
        <w:t>不属于</w:t>
      </w:r>
      <w:r>
        <w:rPr>
          <w:rFonts w:hint="eastAsia" w:ascii="仿宋" w:hAnsi="仿宋" w:eastAsia="仿宋" w:cs="仿宋"/>
          <w:color w:val="000000"/>
          <w:kern w:val="0"/>
          <w:szCs w:val="21"/>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的情形</w:t>
      </w:r>
      <w:r>
        <w:rPr>
          <w:rFonts w:ascii="仿宋" w:hAnsi="仿宋" w:eastAsia="仿宋" w:cs="仿宋"/>
          <w:color w:val="000000"/>
          <w:kern w:val="0"/>
          <w:szCs w:val="21"/>
          <w:highlight w:val="none"/>
        </w:rPr>
        <w:t>。</w:t>
      </w:r>
    </w:p>
    <w:p w14:paraId="1990860E">
      <w:pPr>
        <w:spacing w:line="360" w:lineRule="auto"/>
        <w:ind w:firstLine="420" w:firstLineChars="200"/>
        <w:rPr>
          <w:rFonts w:ascii="仿宋" w:hAnsi="仿宋" w:eastAsia="仿宋" w:cs="仿宋"/>
          <w:color w:val="000000"/>
          <w:kern w:val="0"/>
          <w:szCs w:val="21"/>
          <w:highlight w:val="none"/>
        </w:rPr>
      </w:pPr>
    </w:p>
    <w:p w14:paraId="0CFE4640">
      <w:pPr>
        <w:spacing w:line="360" w:lineRule="auto"/>
        <w:ind w:firstLine="420" w:firstLineChars="200"/>
        <w:rPr>
          <w:rFonts w:ascii="仿宋" w:hAnsi="仿宋" w:eastAsia="仿宋" w:cs="仿宋"/>
          <w:color w:val="000000"/>
          <w:kern w:val="0"/>
          <w:szCs w:val="21"/>
          <w:highlight w:val="none"/>
        </w:rPr>
      </w:pPr>
    </w:p>
    <w:p w14:paraId="049D197D">
      <w:pPr>
        <w:spacing w:line="360" w:lineRule="auto"/>
        <w:ind w:firstLine="420" w:firstLineChars="200"/>
        <w:rPr>
          <w:rFonts w:ascii="仿宋" w:hAnsi="仿宋" w:eastAsia="仿宋" w:cs="仿宋"/>
          <w:color w:val="000000"/>
          <w:kern w:val="0"/>
          <w:szCs w:val="21"/>
          <w:highlight w:val="none"/>
        </w:rPr>
      </w:pPr>
    </w:p>
    <w:p w14:paraId="44EA908B">
      <w:pPr>
        <w:spacing w:line="360" w:lineRule="auto"/>
        <w:ind w:firstLine="420" w:firstLineChars="200"/>
        <w:rPr>
          <w:rFonts w:ascii="仿宋" w:hAnsi="仿宋" w:eastAsia="仿宋" w:cs="仿宋"/>
          <w:color w:val="000000"/>
          <w:kern w:val="0"/>
          <w:szCs w:val="21"/>
          <w:highlight w:val="none"/>
        </w:rPr>
      </w:pPr>
    </w:p>
    <w:p w14:paraId="1A06B560">
      <w:pPr>
        <w:spacing w:line="360" w:lineRule="auto"/>
        <w:ind w:firstLine="420" w:firstLineChars="200"/>
        <w:rPr>
          <w:rFonts w:ascii="仿宋" w:hAnsi="仿宋" w:eastAsia="仿宋" w:cs="仿宋"/>
          <w:color w:val="000000"/>
          <w:kern w:val="0"/>
          <w:szCs w:val="21"/>
          <w:highlight w:val="none"/>
        </w:rPr>
      </w:pPr>
      <w:r>
        <w:rPr>
          <w:rFonts w:ascii="仿宋" w:hAnsi="仿宋" w:eastAsia="仿宋" w:cs="仿宋"/>
          <w:color w:val="000000"/>
          <w:kern w:val="0"/>
          <w:szCs w:val="21"/>
          <w:highlight w:val="none"/>
        </w:rPr>
        <w:t>承诺单位（单位公章）：</w:t>
      </w:r>
    </w:p>
    <w:p w14:paraId="4E8E045E">
      <w:pPr>
        <w:spacing w:line="360" w:lineRule="auto"/>
        <w:ind w:firstLine="420" w:firstLineChars="200"/>
        <w:rPr>
          <w:rFonts w:ascii="仿宋" w:hAnsi="仿宋" w:eastAsia="仿宋" w:cs="仿宋"/>
          <w:color w:val="000000"/>
          <w:kern w:val="0"/>
          <w:szCs w:val="21"/>
          <w:highlight w:val="none"/>
        </w:rPr>
      </w:pPr>
      <w:r>
        <w:rPr>
          <w:rFonts w:ascii="仿宋" w:hAnsi="仿宋" w:eastAsia="仿宋" w:cs="仿宋"/>
          <w:color w:val="000000"/>
          <w:kern w:val="0"/>
          <w:szCs w:val="21"/>
          <w:highlight w:val="none"/>
        </w:rPr>
        <w:t>法定代表人（签字）：</w:t>
      </w:r>
    </w:p>
    <w:p w14:paraId="31C0A11B">
      <w:pPr>
        <w:spacing w:line="360" w:lineRule="auto"/>
        <w:ind w:firstLine="420" w:firstLineChars="200"/>
        <w:rPr>
          <w:rFonts w:ascii="仿宋" w:hAnsi="仿宋" w:eastAsia="仿宋" w:cs="仿宋"/>
          <w:color w:val="000000"/>
          <w:kern w:val="0"/>
          <w:szCs w:val="21"/>
          <w:highlight w:val="none"/>
        </w:rPr>
      </w:pPr>
      <w:r>
        <w:rPr>
          <w:rFonts w:ascii="仿宋" w:hAnsi="仿宋" w:eastAsia="仿宋" w:cs="仿宋"/>
          <w:color w:val="000000"/>
          <w:kern w:val="0"/>
          <w:szCs w:val="21"/>
          <w:highlight w:val="none"/>
        </w:rPr>
        <w:t>年</w:t>
      </w:r>
      <w:r>
        <w:rPr>
          <w:rFonts w:eastAsia="仿宋" w:cs="Calibri"/>
          <w:color w:val="000000"/>
          <w:kern w:val="0"/>
          <w:szCs w:val="21"/>
          <w:highlight w:val="none"/>
        </w:rPr>
        <w:t>   </w:t>
      </w:r>
      <w:r>
        <w:rPr>
          <w:rFonts w:ascii="仿宋" w:hAnsi="仿宋" w:eastAsia="仿宋" w:cs="仿宋"/>
          <w:color w:val="000000"/>
          <w:kern w:val="0"/>
          <w:szCs w:val="21"/>
          <w:highlight w:val="none"/>
        </w:rPr>
        <w:t>月</w:t>
      </w:r>
      <w:r>
        <w:rPr>
          <w:rFonts w:eastAsia="仿宋" w:cs="Calibri"/>
          <w:color w:val="000000"/>
          <w:kern w:val="0"/>
          <w:szCs w:val="21"/>
          <w:highlight w:val="none"/>
        </w:rPr>
        <w:t>   </w:t>
      </w:r>
      <w:r>
        <w:rPr>
          <w:rFonts w:ascii="仿宋" w:hAnsi="仿宋" w:eastAsia="仿宋" w:cs="仿宋"/>
          <w:color w:val="000000"/>
          <w:kern w:val="0"/>
          <w:szCs w:val="21"/>
          <w:highlight w:val="none"/>
        </w:rPr>
        <w:t>日</w:t>
      </w:r>
    </w:p>
    <w:p w14:paraId="7106ED15">
      <w:pPr>
        <w:pStyle w:val="43"/>
        <w:rPr>
          <w:rFonts w:hint="eastAsia"/>
        </w:rPr>
      </w:pPr>
    </w:p>
    <w:p w14:paraId="68ABE507">
      <w:pPr>
        <w:numPr>
          <w:ilvl w:val="0"/>
          <w:numId w:val="0"/>
        </w:numPr>
        <w:spacing w:before="136" w:beforeLines="50" w:after="272" w:afterLines="100"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14:paraId="3537B2A6">
      <w:pPr>
        <w:numPr>
          <w:ilvl w:val="0"/>
          <w:numId w:val="0"/>
        </w:numPr>
        <w:spacing w:before="136" w:beforeLines="50" w:after="272" w:afterLines="100" w:line="420" w:lineRule="exact"/>
        <w:jc w:val="center"/>
        <w:rPr>
          <w:rFonts w:eastAsia="黑体"/>
          <w:color w:val="auto"/>
          <w:sz w:val="28"/>
          <w:szCs w:val="28"/>
          <w:highlight w:val="none"/>
        </w:rPr>
      </w:pPr>
      <w:r>
        <w:rPr>
          <w:rFonts w:hint="eastAsia" w:eastAsia="黑体"/>
          <w:color w:val="auto"/>
          <w:sz w:val="28"/>
          <w:szCs w:val="28"/>
          <w:highlight w:val="none"/>
          <w:lang w:val="en-US" w:eastAsia="zh-CN"/>
        </w:rPr>
        <w:t>十二、</w:t>
      </w:r>
      <w:r>
        <w:rPr>
          <w:rFonts w:hint="eastAsia" w:eastAsia="黑体"/>
          <w:color w:val="auto"/>
          <w:sz w:val="28"/>
          <w:szCs w:val="28"/>
          <w:highlight w:val="none"/>
        </w:rPr>
        <w:t>其他资料</w:t>
      </w:r>
    </w:p>
    <w:p w14:paraId="59CB7A7A">
      <w:pPr>
        <w:widowControl/>
        <w:shd w:val="clear" w:color="auto" w:fill="FFFFFF"/>
        <w:spacing w:line="430" w:lineRule="exact"/>
        <w:ind w:firstLine="420" w:firstLineChars="200"/>
        <w:jc w:val="left"/>
        <w:rPr>
          <w:rFonts w:ascii="宋体" w:hAnsi="宋体" w:cs="宋体"/>
          <w:color w:val="auto"/>
          <w:kern w:val="0"/>
          <w:szCs w:val="21"/>
          <w:highlight w:val="none"/>
        </w:rPr>
      </w:pPr>
    </w:p>
    <w:p w14:paraId="38E0F34D">
      <w:pPr>
        <w:widowControl/>
        <w:shd w:val="clear" w:color="auto" w:fill="FFFFFF"/>
        <w:spacing w:line="430" w:lineRule="exact"/>
        <w:ind w:firstLine="420" w:firstLineChars="200"/>
        <w:jc w:val="left"/>
        <w:rPr>
          <w:rFonts w:ascii="宋体" w:hAnsi="宋体" w:cs="宋体"/>
          <w:color w:val="auto"/>
          <w:kern w:val="0"/>
          <w:szCs w:val="21"/>
          <w:highlight w:val="none"/>
        </w:rPr>
      </w:pPr>
    </w:p>
    <w:p w14:paraId="637B36CE">
      <w:pPr>
        <w:widowControl/>
        <w:shd w:val="clear" w:color="auto" w:fill="FFFFFF"/>
        <w:spacing w:line="430" w:lineRule="exact"/>
        <w:ind w:firstLine="420" w:firstLineChars="200"/>
        <w:jc w:val="left"/>
        <w:rPr>
          <w:rFonts w:ascii="宋体" w:hAnsi="宋体" w:cs="宋体"/>
          <w:color w:val="auto"/>
          <w:kern w:val="0"/>
          <w:szCs w:val="21"/>
          <w:highlight w:val="none"/>
        </w:rPr>
      </w:pPr>
    </w:p>
    <w:p w14:paraId="08526F4B">
      <w:pPr>
        <w:widowControl/>
        <w:shd w:val="clear" w:color="auto" w:fill="FFFFFF"/>
        <w:spacing w:line="430" w:lineRule="exact"/>
        <w:ind w:firstLine="420" w:firstLineChars="200"/>
        <w:jc w:val="left"/>
        <w:rPr>
          <w:rFonts w:ascii="宋体" w:hAnsi="宋体" w:cs="宋体"/>
          <w:color w:val="auto"/>
          <w:kern w:val="0"/>
          <w:szCs w:val="21"/>
          <w:highlight w:val="none"/>
        </w:rPr>
      </w:pPr>
    </w:p>
    <w:p w14:paraId="58462045">
      <w:pPr>
        <w:widowControl/>
        <w:shd w:val="clear" w:color="auto" w:fill="FFFFFF"/>
        <w:spacing w:line="430" w:lineRule="exact"/>
        <w:ind w:firstLine="420" w:firstLineChars="200"/>
        <w:jc w:val="left"/>
        <w:rPr>
          <w:rFonts w:ascii="宋体" w:hAnsi="宋体" w:cs="宋体"/>
          <w:color w:val="auto"/>
          <w:kern w:val="0"/>
          <w:szCs w:val="21"/>
          <w:highlight w:val="none"/>
        </w:rPr>
      </w:pPr>
    </w:p>
    <w:p w14:paraId="687906ED">
      <w:pPr>
        <w:widowControl/>
        <w:shd w:val="clear" w:color="auto" w:fill="FFFFFF"/>
        <w:spacing w:line="430" w:lineRule="exact"/>
        <w:ind w:firstLine="420" w:firstLineChars="200"/>
        <w:jc w:val="left"/>
        <w:rPr>
          <w:rFonts w:ascii="宋体" w:hAnsi="宋体" w:cs="宋体"/>
          <w:color w:val="auto"/>
          <w:kern w:val="0"/>
          <w:szCs w:val="21"/>
          <w:highlight w:val="none"/>
        </w:rPr>
      </w:pPr>
    </w:p>
    <w:p w14:paraId="54ED2811">
      <w:pPr>
        <w:widowControl/>
        <w:shd w:val="clear" w:color="auto" w:fill="FFFFFF"/>
        <w:spacing w:line="430" w:lineRule="exact"/>
        <w:ind w:firstLine="420" w:firstLineChars="200"/>
        <w:jc w:val="left"/>
        <w:rPr>
          <w:rFonts w:ascii="宋体" w:hAnsi="宋体" w:cs="宋体"/>
          <w:color w:val="auto"/>
          <w:kern w:val="0"/>
          <w:szCs w:val="21"/>
          <w:highlight w:val="none"/>
        </w:rPr>
      </w:pPr>
    </w:p>
    <w:p w14:paraId="678C1B6C">
      <w:pPr>
        <w:widowControl/>
        <w:shd w:val="clear" w:color="auto" w:fill="FFFFFF"/>
        <w:spacing w:line="430" w:lineRule="exact"/>
        <w:ind w:firstLine="420" w:firstLineChars="200"/>
        <w:jc w:val="left"/>
        <w:rPr>
          <w:rFonts w:ascii="宋体" w:hAnsi="宋体" w:cs="宋体"/>
          <w:color w:val="auto"/>
          <w:kern w:val="0"/>
          <w:szCs w:val="21"/>
          <w:highlight w:val="none"/>
        </w:rPr>
      </w:pPr>
    </w:p>
    <w:p w14:paraId="75598B30">
      <w:pPr>
        <w:widowControl/>
        <w:shd w:val="clear" w:color="auto" w:fill="FFFFFF"/>
        <w:spacing w:line="430" w:lineRule="exact"/>
        <w:ind w:firstLine="420" w:firstLineChars="200"/>
        <w:jc w:val="left"/>
        <w:rPr>
          <w:rFonts w:ascii="宋体" w:hAnsi="宋体" w:cs="宋体"/>
          <w:color w:val="auto"/>
          <w:kern w:val="0"/>
          <w:szCs w:val="21"/>
          <w:highlight w:val="none"/>
        </w:rPr>
      </w:pPr>
    </w:p>
    <w:p w14:paraId="2D44BE93">
      <w:pPr>
        <w:widowControl/>
        <w:shd w:val="clear" w:color="auto" w:fill="FFFFFF"/>
        <w:spacing w:line="430" w:lineRule="exact"/>
        <w:ind w:firstLine="420" w:firstLineChars="200"/>
        <w:jc w:val="left"/>
        <w:rPr>
          <w:rFonts w:ascii="宋体" w:hAnsi="宋体" w:cs="宋体"/>
          <w:color w:val="auto"/>
          <w:kern w:val="0"/>
          <w:szCs w:val="21"/>
          <w:highlight w:val="none"/>
        </w:rPr>
      </w:pPr>
    </w:p>
    <w:p w14:paraId="301F61A4">
      <w:pPr>
        <w:widowControl/>
        <w:shd w:val="clear" w:color="auto" w:fill="FFFFFF"/>
        <w:spacing w:line="430" w:lineRule="exact"/>
        <w:ind w:firstLine="420" w:firstLineChars="200"/>
        <w:jc w:val="left"/>
        <w:rPr>
          <w:rFonts w:ascii="宋体" w:hAnsi="宋体" w:cs="宋体"/>
          <w:color w:val="auto"/>
          <w:kern w:val="0"/>
          <w:szCs w:val="21"/>
          <w:highlight w:val="none"/>
        </w:rPr>
      </w:pPr>
    </w:p>
    <w:p w14:paraId="038F3BE5">
      <w:pPr>
        <w:widowControl/>
        <w:shd w:val="clear" w:color="auto" w:fill="FFFFFF"/>
        <w:spacing w:line="430" w:lineRule="exact"/>
        <w:ind w:firstLine="420" w:firstLineChars="200"/>
        <w:jc w:val="left"/>
        <w:rPr>
          <w:rFonts w:ascii="宋体" w:hAnsi="宋体" w:cs="宋体"/>
          <w:color w:val="auto"/>
          <w:kern w:val="0"/>
          <w:szCs w:val="21"/>
          <w:highlight w:val="none"/>
        </w:rPr>
      </w:pPr>
    </w:p>
    <w:p w14:paraId="7E424A5E">
      <w:pPr>
        <w:widowControl/>
        <w:shd w:val="clear" w:color="auto" w:fill="FFFFFF"/>
        <w:spacing w:line="430" w:lineRule="exact"/>
        <w:ind w:firstLine="420" w:firstLineChars="200"/>
        <w:jc w:val="left"/>
        <w:rPr>
          <w:rFonts w:ascii="宋体" w:hAnsi="宋体" w:cs="宋体"/>
          <w:color w:val="auto"/>
          <w:kern w:val="0"/>
          <w:szCs w:val="21"/>
          <w:highlight w:val="none"/>
        </w:rPr>
      </w:pPr>
    </w:p>
    <w:p w14:paraId="454F7B59">
      <w:pPr>
        <w:widowControl/>
        <w:shd w:val="clear" w:color="auto" w:fill="FFFFFF"/>
        <w:spacing w:line="430" w:lineRule="exact"/>
        <w:ind w:firstLine="420" w:firstLineChars="200"/>
        <w:jc w:val="left"/>
        <w:rPr>
          <w:rFonts w:ascii="宋体" w:hAnsi="宋体" w:cs="宋体"/>
          <w:color w:val="auto"/>
          <w:kern w:val="0"/>
          <w:szCs w:val="21"/>
          <w:highlight w:val="none"/>
        </w:rPr>
      </w:pPr>
    </w:p>
    <w:p w14:paraId="1C451642">
      <w:pPr>
        <w:widowControl/>
        <w:shd w:val="clear" w:color="auto" w:fill="FFFFFF"/>
        <w:spacing w:line="430" w:lineRule="exact"/>
        <w:ind w:firstLine="420" w:firstLineChars="200"/>
        <w:jc w:val="left"/>
        <w:rPr>
          <w:rFonts w:ascii="宋体" w:hAnsi="宋体" w:cs="宋体"/>
          <w:color w:val="auto"/>
          <w:kern w:val="0"/>
          <w:szCs w:val="21"/>
          <w:highlight w:val="none"/>
        </w:rPr>
      </w:pPr>
    </w:p>
    <w:p w14:paraId="784883B3">
      <w:pPr>
        <w:widowControl/>
        <w:shd w:val="clear" w:color="auto" w:fill="FFFFFF"/>
        <w:spacing w:line="430" w:lineRule="exact"/>
        <w:ind w:firstLine="420" w:firstLineChars="200"/>
        <w:jc w:val="left"/>
        <w:rPr>
          <w:rFonts w:ascii="宋体" w:hAnsi="宋体" w:cs="宋体"/>
          <w:color w:val="auto"/>
          <w:kern w:val="0"/>
          <w:szCs w:val="21"/>
          <w:highlight w:val="none"/>
        </w:rPr>
      </w:pPr>
    </w:p>
    <w:p w14:paraId="5E3E592D">
      <w:pPr>
        <w:widowControl/>
        <w:shd w:val="clear" w:color="auto" w:fill="FFFFFF"/>
        <w:spacing w:line="430" w:lineRule="exact"/>
        <w:ind w:firstLine="420" w:firstLineChars="200"/>
        <w:jc w:val="left"/>
        <w:rPr>
          <w:rFonts w:ascii="宋体" w:hAnsi="宋体" w:cs="宋体"/>
          <w:color w:val="auto"/>
          <w:kern w:val="0"/>
          <w:szCs w:val="21"/>
          <w:highlight w:val="none"/>
        </w:rPr>
      </w:pPr>
    </w:p>
    <w:p w14:paraId="15E6679F">
      <w:pPr>
        <w:widowControl/>
        <w:shd w:val="clear" w:color="auto" w:fill="FFFFFF"/>
        <w:spacing w:line="430" w:lineRule="exact"/>
        <w:ind w:firstLine="420" w:firstLineChars="200"/>
        <w:jc w:val="left"/>
        <w:rPr>
          <w:rFonts w:ascii="宋体" w:hAnsi="宋体" w:cs="宋体"/>
          <w:color w:val="auto"/>
          <w:kern w:val="0"/>
          <w:szCs w:val="21"/>
          <w:highlight w:val="none"/>
        </w:rPr>
      </w:pPr>
    </w:p>
    <w:p w14:paraId="4EB38B56">
      <w:pPr>
        <w:widowControl/>
        <w:shd w:val="clear" w:color="auto" w:fill="FFFFFF"/>
        <w:spacing w:line="430" w:lineRule="exact"/>
        <w:ind w:firstLine="420" w:firstLineChars="200"/>
        <w:jc w:val="left"/>
        <w:rPr>
          <w:rFonts w:ascii="宋体" w:hAnsi="宋体" w:cs="宋体"/>
          <w:color w:val="auto"/>
          <w:kern w:val="0"/>
          <w:szCs w:val="21"/>
          <w:highlight w:val="none"/>
        </w:rPr>
      </w:pPr>
    </w:p>
    <w:p w14:paraId="75FC0630">
      <w:pPr>
        <w:widowControl/>
        <w:shd w:val="clear" w:color="auto" w:fill="FFFFFF"/>
        <w:spacing w:line="430" w:lineRule="exact"/>
        <w:ind w:firstLine="420" w:firstLineChars="200"/>
        <w:jc w:val="left"/>
        <w:rPr>
          <w:rFonts w:ascii="宋体" w:hAnsi="宋体" w:cs="宋体"/>
          <w:color w:val="auto"/>
          <w:kern w:val="0"/>
          <w:szCs w:val="21"/>
          <w:highlight w:val="none"/>
        </w:rPr>
      </w:pPr>
    </w:p>
    <w:p w14:paraId="23AC8CF9">
      <w:pPr>
        <w:widowControl/>
        <w:shd w:val="clear" w:color="auto" w:fill="FFFFFF"/>
        <w:spacing w:line="430" w:lineRule="exact"/>
        <w:ind w:firstLine="420" w:firstLineChars="200"/>
        <w:jc w:val="left"/>
        <w:rPr>
          <w:rFonts w:ascii="宋体" w:hAnsi="宋体" w:cs="宋体"/>
          <w:color w:val="auto"/>
          <w:kern w:val="0"/>
          <w:szCs w:val="21"/>
          <w:highlight w:val="none"/>
        </w:rPr>
      </w:pPr>
    </w:p>
    <w:p w14:paraId="51C24780">
      <w:pPr>
        <w:widowControl/>
        <w:shd w:val="clear" w:color="auto" w:fill="FFFFFF"/>
        <w:spacing w:line="430" w:lineRule="exact"/>
        <w:ind w:firstLine="420" w:firstLineChars="200"/>
        <w:jc w:val="left"/>
        <w:rPr>
          <w:rFonts w:ascii="宋体" w:hAnsi="宋体" w:cs="宋体"/>
          <w:color w:val="auto"/>
          <w:kern w:val="0"/>
          <w:szCs w:val="21"/>
          <w:highlight w:val="none"/>
        </w:rPr>
      </w:pPr>
    </w:p>
    <w:p w14:paraId="2A90D8D4">
      <w:pPr>
        <w:widowControl/>
        <w:shd w:val="clear" w:color="auto" w:fill="FFFFFF"/>
        <w:spacing w:line="430" w:lineRule="exact"/>
        <w:ind w:firstLine="420" w:firstLineChars="200"/>
        <w:jc w:val="left"/>
        <w:rPr>
          <w:rFonts w:ascii="宋体" w:hAnsi="宋体" w:cs="宋体"/>
          <w:color w:val="auto"/>
          <w:kern w:val="0"/>
          <w:szCs w:val="21"/>
          <w:highlight w:val="none"/>
        </w:rPr>
      </w:pPr>
    </w:p>
    <w:p w14:paraId="44730037">
      <w:pPr>
        <w:widowControl/>
        <w:shd w:val="clear" w:color="auto" w:fill="FFFFFF"/>
        <w:spacing w:line="430" w:lineRule="exact"/>
        <w:ind w:firstLine="420" w:firstLineChars="200"/>
        <w:jc w:val="left"/>
        <w:rPr>
          <w:rFonts w:ascii="宋体" w:hAnsi="宋体" w:cs="宋体"/>
          <w:color w:val="auto"/>
          <w:kern w:val="0"/>
          <w:szCs w:val="21"/>
          <w:highlight w:val="none"/>
        </w:rPr>
      </w:pPr>
    </w:p>
    <w:p w14:paraId="75F98C6C">
      <w:pPr>
        <w:widowControl/>
        <w:shd w:val="clear" w:color="auto" w:fill="FFFFFF"/>
        <w:spacing w:line="430" w:lineRule="exact"/>
        <w:ind w:firstLine="420" w:firstLineChars="200"/>
        <w:jc w:val="left"/>
        <w:rPr>
          <w:rFonts w:ascii="宋体" w:hAnsi="宋体" w:cs="宋体"/>
          <w:color w:val="auto"/>
          <w:kern w:val="0"/>
          <w:szCs w:val="21"/>
          <w:highlight w:val="none"/>
        </w:rPr>
      </w:pPr>
    </w:p>
    <w:p w14:paraId="4494DFEF">
      <w:pPr>
        <w:widowControl/>
        <w:shd w:val="clear" w:color="auto" w:fill="FFFFFF"/>
        <w:spacing w:line="430" w:lineRule="exact"/>
        <w:ind w:firstLine="420" w:firstLineChars="200"/>
        <w:jc w:val="left"/>
        <w:rPr>
          <w:rFonts w:ascii="宋体" w:hAnsi="宋体" w:cs="宋体"/>
          <w:color w:val="auto"/>
          <w:kern w:val="0"/>
          <w:szCs w:val="21"/>
          <w:highlight w:val="none"/>
        </w:rPr>
      </w:pPr>
    </w:p>
    <w:p w14:paraId="6983BA79">
      <w:pPr>
        <w:widowControl/>
        <w:shd w:val="clear" w:color="auto" w:fill="FFFFFF"/>
        <w:spacing w:line="430" w:lineRule="exact"/>
        <w:ind w:firstLine="420" w:firstLineChars="200"/>
        <w:jc w:val="left"/>
        <w:rPr>
          <w:rFonts w:ascii="宋体" w:hAnsi="宋体" w:cs="宋体"/>
          <w:color w:val="auto"/>
          <w:kern w:val="0"/>
          <w:szCs w:val="21"/>
          <w:highlight w:val="none"/>
        </w:rPr>
      </w:pPr>
    </w:p>
    <w:p w14:paraId="03E926F7">
      <w:pPr>
        <w:widowControl/>
        <w:shd w:val="clear" w:color="auto" w:fill="FFFFFF"/>
        <w:spacing w:line="430" w:lineRule="exact"/>
        <w:ind w:firstLine="420" w:firstLineChars="200"/>
        <w:jc w:val="left"/>
        <w:rPr>
          <w:rFonts w:ascii="宋体" w:hAnsi="宋体" w:cs="宋体"/>
          <w:color w:val="auto"/>
          <w:kern w:val="0"/>
          <w:szCs w:val="21"/>
          <w:highlight w:val="none"/>
        </w:rPr>
      </w:pPr>
    </w:p>
    <w:p w14:paraId="57F908B3">
      <w:pPr>
        <w:widowControl/>
        <w:shd w:val="clear" w:color="auto" w:fill="FFFFFF"/>
        <w:spacing w:line="430" w:lineRule="exact"/>
        <w:ind w:firstLine="420" w:firstLineChars="200"/>
        <w:jc w:val="left"/>
        <w:rPr>
          <w:rFonts w:ascii="宋体" w:hAnsi="宋体" w:cs="宋体"/>
          <w:color w:val="auto"/>
          <w:kern w:val="0"/>
          <w:szCs w:val="21"/>
          <w:highlight w:val="none"/>
        </w:rPr>
      </w:pPr>
    </w:p>
    <w:p w14:paraId="56224762">
      <w:pPr>
        <w:widowControl/>
        <w:shd w:val="clear" w:color="auto" w:fill="FFFFFF"/>
        <w:spacing w:line="430" w:lineRule="exact"/>
        <w:ind w:firstLine="420" w:firstLineChars="200"/>
        <w:jc w:val="left"/>
        <w:rPr>
          <w:rFonts w:ascii="宋体" w:hAnsi="宋体" w:cs="宋体"/>
          <w:color w:val="auto"/>
          <w:kern w:val="0"/>
          <w:szCs w:val="21"/>
          <w:highlight w:val="none"/>
        </w:rPr>
      </w:pPr>
    </w:p>
    <w:p w14:paraId="55AFC924">
      <w:pPr>
        <w:rPr>
          <w:color w:val="auto"/>
          <w:highlight w:val="none"/>
        </w:rPr>
      </w:pPr>
    </w:p>
    <w:p w14:paraId="6AC5C1DE">
      <w:pPr>
        <w:rPr>
          <w:color w:val="auto"/>
          <w:highlight w:val="none"/>
        </w:rPr>
      </w:pPr>
    </w:p>
    <w:p w14:paraId="4092AE38">
      <w:pPr>
        <w:spacing w:before="120" w:after="120" w:line="360" w:lineRule="auto"/>
        <w:jc w:val="left"/>
        <w:outlineLvl w:val="9"/>
        <w:rPr>
          <w:b/>
          <w:bCs/>
          <w:highlight w:val="none"/>
        </w:rPr>
      </w:pPr>
      <w:r>
        <w:rPr>
          <w:rFonts w:hint="eastAsia" w:ascii="宋体" w:hAnsi="宋体" w:cs="宋体"/>
          <w:b/>
          <w:bCs/>
          <w:sz w:val="28"/>
          <w:highlight w:val="none"/>
        </w:rPr>
        <w:t>附表1</w:t>
      </w:r>
    </w:p>
    <w:p w14:paraId="31914256">
      <w:pPr>
        <w:spacing w:before="120" w:after="120" w:line="360" w:lineRule="auto"/>
        <w:ind w:left="0" w:leftChars="0" w:firstLine="0" w:firstLineChars="0"/>
        <w:jc w:val="center"/>
        <w:outlineLvl w:val="0"/>
        <w:rPr>
          <w:rFonts w:ascii="黑体" w:eastAsia="黑体"/>
          <w:sz w:val="32"/>
          <w:szCs w:val="32"/>
          <w:highlight w:val="none"/>
        </w:rPr>
      </w:pPr>
      <w:r>
        <w:rPr>
          <w:rFonts w:hint="eastAsia" w:ascii="黑体" w:eastAsia="黑体"/>
          <w:sz w:val="32"/>
          <w:szCs w:val="32"/>
          <w:highlight w:val="none"/>
        </w:rPr>
        <w:t>开具发票所需信息</w:t>
      </w:r>
    </w:p>
    <w:p w14:paraId="0C8F8D21">
      <w:pPr>
        <w:widowControl w:val="0"/>
        <w:jc w:val="left"/>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b/>
          <w:bCs/>
          <w:kern w:val="2"/>
          <w:sz w:val="28"/>
          <w:szCs w:val="28"/>
          <w:highlight w:val="none"/>
          <w:lang w:val="en-US" w:eastAsia="zh-CN" w:bidi="ar-SA"/>
        </w:rPr>
        <w:t>请</w:t>
      </w:r>
      <w:r>
        <w:rPr>
          <w:rFonts w:hint="eastAsia" w:ascii="宋体" w:cs="宋体"/>
          <w:b/>
          <w:bCs/>
          <w:kern w:val="2"/>
          <w:sz w:val="28"/>
          <w:szCs w:val="28"/>
          <w:highlight w:val="none"/>
          <w:lang w:val="en-US" w:eastAsia="zh-CN" w:bidi="ar-SA"/>
        </w:rPr>
        <w:t>各</w:t>
      </w:r>
      <w:r>
        <w:rPr>
          <w:rFonts w:hint="eastAsia" w:ascii="宋体" w:hAnsi="Times New Roman" w:eastAsia="宋体" w:cs="宋体"/>
          <w:b/>
          <w:bCs/>
          <w:kern w:val="2"/>
          <w:sz w:val="28"/>
          <w:szCs w:val="28"/>
          <w:highlight w:val="none"/>
          <w:lang w:val="en-US" w:eastAsia="zh-CN" w:bidi="ar-SA"/>
        </w:rPr>
        <w:t>供应商，在缴纳</w:t>
      </w:r>
      <w:r>
        <w:rPr>
          <w:rFonts w:hint="eastAsia" w:ascii="宋体" w:cs="宋体"/>
          <w:b/>
          <w:bCs/>
          <w:kern w:val="2"/>
          <w:sz w:val="28"/>
          <w:szCs w:val="28"/>
          <w:highlight w:val="none"/>
          <w:lang w:val="en-US" w:eastAsia="zh-CN" w:bidi="ar-SA"/>
        </w:rPr>
        <w:t>文件费或</w:t>
      </w:r>
      <w:r>
        <w:rPr>
          <w:rFonts w:hint="eastAsia" w:ascii="宋体" w:hAnsi="Times New Roman" w:eastAsia="宋体" w:cs="宋体"/>
          <w:b/>
          <w:bCs/>
          <w:kern w:val="2"/>
          <w:sz w:val="28"/>
          <w:szCs w:val="28"/>
          <w:highlight w:val="none"/>
          <w:lang w:val="en-US" w:eastAsia="zh-CN" w:bidi="ar-SA"/>
        </w:rPr>
        <w:t>服务费</w:t>
      </w:r>
      <w:r>
        <w:rPr>
          <w:rFonts w:hint="eastAsia" w:ascii="宋体" w:cs="宋体"/>
          <w:b/>
          <w:bCs/>
          <w:kern w:val="2"/>
          <w:sz w:val="28"/>
          <w:szCs w:val="28"/>
          <w:highlight w:val="none"/>
          <w:lang w:val="en-US" w:eastAsia="zh-CN" w:bidi="ar-SA"/>
        </w:rPr>
        <w:t>后</w:t>
      </w:r>
      <w:r>
        <w:rPr>
          <w:rFonts w:hint="eastAsia" w:ascii="宋体" w:hAnsi="Times New Roman" w:eastAsia="宋体" w:cs="宋体"/>
          <w:b/>
          <w:bCs/>
          <w:kern w:val="2"/>
          <w:sz w:val="28"/>
          <w:szCs w:val="28"/>
          <w:highlight w:val="none"/>
          <w:lang w:val="en-US" w:eastAsia="zh-CN" w:bidi="ar-SA"/>
        </w:rPr>
        <w:t>自行扫码填写开票信息。发票开具为一次一填，需明确邮箱/电话任一发票收取方式自行下载电子发票。如因未完善填写信息导致的后果由供应商自行承担。</w:t>
      </w:r>
    </w:p>
    <w:p w14:paraId="68887ACA">
      <w:pPr>
        <w:widowControl w:val="0"/>
        <w:ind w:firstLine="624" w:firstLineChars="208"/>
        <w:jc w:val="center"/>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kern w:val="2"/>
          <w:sz w:val="30"/>
          <w:szCs w:val="30"/>
          <w:highlight w:val="none"/>
          <w:lang w:val="en-US" w:eastAsia="zh-CN" w:bidi="ar-SA"/>
        </w:rPr>
        <w:drawing>
          <wp:inline distT="0" distB="0" distL="114300" distR="114300">
            <wp:extent cx="2438400" cy="2438400"/>
            <wp:effectExtent l="0" t="0" r="0" b="0"/>
            <wp:docPr id="6" name="图片 1" descr="6effcfbfb0dccd1e7884977edee3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6effcfbfb0dccd1e7884977edee3a29"/>
                    <pic:cNvPicPr>
                      <a:picLocks noChangeAspect="1"/>
                    </pic:cNvPicPr>
                  </pic:nvPicPr>
                  <pic:blipFill>
                    <a:blip r:embed="rId25"/>
                    <a:stretch>
                      <a:fillRect/>
                    </a:stretch>
                  </pic:blipFill>
                  <pic:spPr>
                    <a:xfrm>
                      <a:off x="0" y="0"/>
                      <a:ext cx="2438400" cy="2438400"/>
                    </a:xfrm>
                    <a:prstGeom prst="rect">
                      <a:avLst/>
                    </a:prstGeom>
                    <a:noFill/>
                    <a:ln>
                      <a:noFill/>
                    </a:ln>
                  </pic:spPr>
                </pic:pic>
              </a:graphicData>
            </a:graphic>
          </wp:inline>
        </w:drawing>
      </w:r>
    </w:p>
    <w:p w14:paraId="67B2EB82">
      <w:pPr>
        <w:widowControl w:val="0"/>
        <w:ind w:firstLine="585" w:firstLineChars="208"/>
        <w:jc w:val="left"/>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b/>
          <w:bCs/>
          <w:kern w:val="2"/>
          <w:sz w:val="28"/>
          <w:szCs w:val="28"/>
          <w:highlight w:val="none"/>
          <w:lang w:val="en-US" w:eastAsia="zh-CN" w:bidi="ar-SA"/>
        </w:rPr>
        <w:t>注：</w:t>
      </w:r>
    </w:p>
    <w:p w14:paraId="403ABD43">
      <w:pPr>
        <w:widowControl w:val="0"/>
        <w:ind w:firstLine="585" w:firstLineChars="208"/>
        <w:jc w:val="left"/>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b/>
          <w:bCs/>
          <w:kern w:val="2"/>
          <w:sz w:val="28"/>
          <w:szCs w:val="28"/>
          <w:highlight w:val="none"/>
          <w:lang w:val="en-US" w:eastAsia="zh-CN" w:bidi="ar-SA"/>
        </w:rPr>
        <w:t>1、开票类型（专票/普票 择一选填）：请扫码后在‘给商家留言’中进行备注。</w:t>
      </w:r>
    </w:p>
    <w:p w14:paraId="35130CE6">
      <w:pPr>
        <w:widowControl w:val="0"/>
        <w:ind w:firstLine="585" w:firstLineChars="208"/>
        <w:jc w:val="left"/>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b/>
          <w:bCs/>
          <w:kern w:val="2"/>
          <w:sz w:val="28"/>
          <w:szCs w:val="28"/>
          <w:highlight w:val="none"/>
          <w:lang w:val="en-US" w:eastAsia="zh-CN" w:bidi="ar-SA"/>
        </w:rPr>
        <w:t>2、请请务必填写邮箱/电话信息，发票开具后会发送到“国家税务局电子税务软件”，工作人员不再另行发放。</w:t>
      </w:r>
    </w:p>
    <w:p w14:paraId="6A8B9E3A">
      <w:pPr>
        <w:widowControl w:val="0"/>
        <w:ind w:firstLine="585" w:firstLineChars="208"/>
        <w:jc w:val="left"/>
        <w:rPr>
          <w:rFonts w:hint="eastAsia" w:ascii="宋体" w:hAnsi="Times New Roman" w:eastAsia="宋体" w:cs="宋体"/>
          <w:b/>
          <w:bCs/>
          <w:kern w:val="2"/>
          <w:sz w:val="28"/>
          <w:szCs w:val="28"/>
          <w:highlight w:val="none"/>
          <w:lang w:val="en-US" w:eastAsia="zh-CN" w:bidi="ar-SA"/>
        </w:rPr>
      </w:pPr>
      <w:r>
        <w:rPr>
          <w:rFonts w:hint="eastAsia" w:ascii="宋体" w:hAnsi="Times New Roman" w:eastAsia="宋体" w:cs="宋体"/>
          <w:b/>
          <w:bCs/>
          <w:kern w:val="2"/>
          <w:sz w:val="28"/>
          <w:szCs w:val="28"/>
          <w:highlight w:val="none"/>
          <w:lang w:val="en-US" w:eastAsia="zh-CN" w:bidi="ar-SA"/>
        </w:rPr>
        <w:t>3、发票可以通过电子税务软件自助下载（详见下图）</w:t>
      </w:r>
    </w:p>
    <w:p w14:paraId="5EFA9C7B">
      <w:pPr>
        <w:rPr>
          <w:rFonts w:hint="eastAsia"/>
          <w:b/>
          <w:sz w:val="24"/>
          <w:highlight w:val="none"/>
        </w:rPr>
      </w:pPr>
      <w:r>
        <w:rPr>
          <w:rFonts w:hint="eastAsia"/>
          <w:b/>
          <w:sz w:val="24"/>
          <w:highlight w:val="none"/>
        </w:rPr>
        <w:br w:type="page"/>
      </w:r>
    </w:p>
    <w:p w14:paraId="5BF69FA7">
      <w:pPr>
        <w:pStyle w:val="61"/>
        <w:ind w:firstLine="585" w:firstLineChars="208"/>
        <w:jc w:val="left"/>
        <w:rPr>
          <w:rFonts w:hint="eastAsia" w:ascii="宋体" w:cs="宋体"/>
          <w:b/>
          <w:bCs/>
          <w:sz w:val="28"/>
          <w:szCs w:val="28"/>
          <w:highlight w:val="none"/>
          <w:lang w:val="en-US" w:eastAsia="zh-CN"/>
        </w:rPr>
      </w:pPr>
      <w:r>
        <w:rPr>
          <w:rFonts w:hint="eastAsia" w:ascii="宋体" w:cs="宋体"/>
          <w:b/>
          <w:bCs/>
          <w:sz w:val="28"/>
          <w:szCs w:val="28"/>
          <w:highlight w:val="none"/>
          <w:lang w:val="en-US" w:eastAsia="zh-CN"/>
        </w:rPr>
        <w:t>发票可以通过电子税务软件自助下载（详见下图）</w:t>
      </w:r>
    </w:p>
    <w:p w14:paraId="1D6BE4A0">
      <w:pPr>
        <w:jc w:val="center"/>
        <w:rPr>
          <w:rFonts w:hint="eastAsia"/>
          <w:highlight w:val="none"/>
          <w:lang w:val="en-US" w:eastAsia="zh-CN"/>
        </w:rPr>
      </w:pPr>
    </w:p>
    <w:p w14:paraId="32C9D9D9">
      <w:pPr>
        <w:jc w:val="left"/>
        <w:rPr>
          <w:rFonts w:hint="default"/>
          <w:highlight w:val="none"/>
          <w:lang w:val="en-US" w:eastAsia="zh-CN"/>
        </w:rPr>
      </w:pPr>
      <w:r>
        <w:rPr>
          <w:rFonts w:hint="eastAsia"/>
          <w:highlight w:val="none"/>
          <w:lang w:val="en-US" w:eastAsia="zh-CN"/>
        </w:rPr>
        <w:t>注：在开标后一个月之后查询。</w:t>
      </w:r>
    </w:p>
    <w:p w14:paraId="7CF6149B">
      <w:pPr>
        <w:jc w:val="center"/>
        <w:rPr>
          <w:rFonts w:hint="eastAsia"/>
          <w:highlight w:val="none"/>
          <w:lang w:val="en-US" w:eastAsia="zh-CN"/>
        </w:rPr>
      </w:pPr>
    </w:p>
    <w:p w14:paraId="7800309B">
      <w:pPr>
        <w:jc w:val="center"/>
        <w:rPr>
          <w:rFonts w:hint="eastAsia"/>
          <w:highlight w:val="none"/>
          <w:lang w:val="en-US" w:eastAsia="zh-CN"/>
        </w:rPr>
      </w:pPr>
    </w:p>
    <w:p w14:paraId="7D61F38B">
      <w:pPr>
        <w:jc w:val="center"/>
        <w:rPr>
          <w:rFonts w:hint="eastAsia"/>
          <w:highlight w:val="none"/>
          <w:lang w:val="en-US" w:eastAsia="zh-CN"/>
        </w:rPr>
      </w:pPr>
    </w:p>
    <w:p w14:paraId="51005D90">
      <w:pPr>
        <w:jc w:val="center"/>
        <w:rPr>
          <w:rFonts w:hint="eastAsia"/>
          <w:highlight w:val="none"/>
          <w:lang w:val="en-US" w:eastAsia="zh-CN"/>
        </w:rPr>
      </w:pPr>
    </w:p>
    <w:p w14:paraId="2D4C92C1">
      <w:pPr>
        <w:jc w:val="center"/>
        <w:rPr>
          <w:rFonts w:hint="eastAsia"/>
          <w:highlight w:val="none"/>
          <w:lang w:val="en-US" w:eastAsia="zh-CN"/>
        </w:rPr>
      </w:pPr>
    </w:p>
    <w:p w14:paraId="04D91EDD">
      <w:pPr>
        <w:jc w:val="center"/>
        <w:rPr>
          <w:rFonts w:hint="eastAsia"/>
          <w:highlight w:val="none"/>
          <w:lang w:val="en-US" w:eastAsia="zh-CN"/>
        </w:rPr>
      </w:pPr>
      <w:r>
        <w:rPr>
          <w:rFonts w:hint="eastAsia"/>
          <w:highlight w:val="none"/>
          <w:lang w:val="en-US" w:eastAsia="zh-CN"/>
        </w:rPr>
        <w:t>电子税务软件下载</w:t>
      </w:r>
    </w:p>
    <w:p w14:paraId="5EA07B95">
      <w:pPr>
        <w:jc w:val="left"/>
        <w:rPr>
          <w:color w:val="auto"/>
          <w:highlight w:val="none"/>
        </w:rPr>
      </w:pPr>
      <w:r>
        <w:rPr>
          <w:rFonts w:hint="eastAsia"/>
          <w:highlight w:val="none"/>
          <w:lang w:val="en-US" w:eastAsia="zh-CN"/>
        </w:rPr>
        <w:drawing>
          <wp:inline distT="0" distB="0" distL="114300" distR="114300">
            <wp:extent cx="5264150" cy="2825750"/>
            <wp:effectExtent l="0" t="0" r="12700" b="12700"/>
            <wp:docPr id="42" name="图片 42" descr="ce62d920849344977822888d9e9d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e62d920849344977822888d9e9d3fd"/>
                    <pic:cNvPicPr>
                      <a:picLocks noChangeAspect="1"/>
                    </pic:cNvPicPr>
                  </pic:nvPicPr>
                  <pic:blipFill>
                    <a:blip r:embed="rId26"/>
                    <a:stretch>
                      <a:fillRect/>
                    </a:stretch>
                  </pic:blipFill>
                  <pic:spPr>
                    <a:xfrm>
                      <a:off x="0" y="0"/>
                      <a:ext cx="5264150" cy="2825750"/>
                    </a:xfrm>
                    <a:prstGeom prst="rect">
                      <a:avLst/>
                    </a:prstGeom>
                  </pic:spPr>
                </pic:pic>
              </a:graphicData>
            </a:graphic>
          </wp:inline>
        </w:drawing>
      </w:r>
      <w:r>
        <w:rPr>
          <w:rFonts w:hint="eastAsia"/>
          <w:highlight w:val="none"/>
          <w:lang w:val="en-US" w:eastAsia="zh-CN"/>
        </w:rPr>
        <w:drawing>
          <wp:inline distT="0" distB="0" distL="114300" distR="114300">
            <wp:extent cx="5273040" cy="2664460"/>
            <wp:effectExtent l="0" t="0" r="3810" b="2540"/>
            <wp:docPr id="43" name="图片 43" descr="6ff1852d8b3fb4288e1fa0ce3fd6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6ff1852d8b3fb4288e1fa0ce3fd605e"/>
                    <pic:cNvPicPr>
                      <a:picLocks noChangeAspect="1"/>
                    </pic:cNvPicPr>
                  </pic:nvPicPr>
                  <pic:blipFill>
                    <a:blip r:embed="rId27"/>
                    <a:stretch>
                      <a:fillRect/>
                    </a:stretch>
                  </pic:blipFill>
                  <pic:spPr>
                    <a:xfrm>
                      <a:off x="0" y="0"/>
                      <a:ext cx="5273040" cy="2664460"/>
                    </a:xfrm>
                    <a:prstGeom prst="rect">
                      <a:avLst/>
                    </a:prstGeom>
                  </pic:spPr>
                </pic:pic>
              </a:graphicData>
            </a:graphic>
          </wp:inline>
        </w:drawing>
      </w:r>
    </w:p>
    <w:sectPr>
      <w:pgSz w:w="11907" w:h="16840"/>
      <w:pgMar w:top="1191" w:right="1361" w:bottom="1077" w:left="1531" w:header="777" w:footer="652" w:gutter="0"/>
      <w:pgNumType w:fmt="decimal"/>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altName w:val="微软雅黑"/>
    <w:panose1 w:val="0201050906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B305">
    <w:pPr>
      <w:pStyle w:val="28"/>
      <w:pBdr>
        <w:top w:val="single" w:color="auto" w:sz="4" w:space="1"/>
      </w:pBdr>
      <w:tabs>
        <w:tab w:val="left" w:pos="570"/>
        <w:tab w:val="right" w:pos="9616"/>
      </w:tabs>
      <w:wordWrap w:val="0"/>
      <w:ind w:right="60"/>
      <w:jc w:val="center"/>
      <w:rPr>
        <w:rFonts w:hint="default" w:ascii="隶书" w:eastAsia="隶书"/>
        <w:sz w:val="21"/>
        <w:lang w:val="en-US" w:eastAsia="zh-CN"/>
      </w:rPr>
    </w:pPr>
    <w:r>
      <w:rPr>
        <w:rFonts w:hint="eastAsia" w:ascii="隶书" w:eastAsia="隶书"/>
        <w:sz w:val="21"/>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C52E">
    <w:pPr>
      <w:spacing w:before="0" w:line="200" w:lineRule="exact"/>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B2833">
                          <w:pPr>
                            <w:pStyle w:val="2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9CB2833">
                    <w:pPr>
                      <w:pStyle w:val="2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680E">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19</w:t>
    </w:r>
    <w:r>
      <w:fldChar w:fldCharType="end"/>
    </w:r>
  </w:p>
  <w:p w14:paraId="316D4987">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269F">
    <w:pPr>
      <w:pStyle w:val="28"/>
      <w:jc w:val="center"/>
      <w:rPr>
        <w:rFonts w:hint="default" w:eastAsia="宋体"/>
        <w:lang w:val="en-US" w:eastAsia="zh-CN"/>
      </w:rPr>
    </w:pPr>
    <w:r>
      <w:rPr>
        <w:rFonts w:hint="eastAsia"/>
        <w:lang w:val="en-US" w:eastAsia="zh-CN"/>
      </w:rPr>
      <w:t>48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429A">
    <w:pPr>
      <w:pStyle w:val="28"/>
      <w:pBdr>
        <w:top w:val="single" w:color="auto" w:sz="4" w:space="1"/>
      </w:pBdr>
      <w:tabs>
        <w:tab w:val="left" w:pos="570"/>
        <w:tab w:val="right" w:pos="9616"/>
      </w:tabs>
      <w:wordWrap w:val="0"/>
      <w:ind w:right="60"/>
      <w:jc w:val="center"/>
      <w:rPr>
        <w:rFonts w:hint="default" w:ascii="隶书" w:eastAsia="隶书"/>
        <w:sz w:val="21"/>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08610">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D608610">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隶书" w:eastAsia="隶书"/>
        <w:sz w:val="21"/>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FFC3">
    <w:pPr>
      <w:pStyle w:val="28"/>
      <w:pBdr>
        <w:top w:val="single" w:color="auto" w:sz="4" w:space="1"/>
      </w:pBdr>
      <w:tabs>
        <w:tab w:val="left" w:pos="5565"/>
        <w:tab w:val="clear" w:pos="4153"/>
        <w:tab w:val="clear" w:pos="8306"/>
      </w:tabs>
      <w:ind w:firstLine="4050" w:firstLineChars="225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63BE9">
                          <w:pPr>
                            <w:pStyle w:val="2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1F63BE9">
                    <w:pPr>
                      <w:pStyle w:val="2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8DF0">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19</w:t>
    </w:r>
    <w:r>
      <w:fldChar w:fldCharType="end"/>
    </w:r>
  </w:p>
  <w:p w14:paraId="3CEB6441">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E9F6">
    <w:pPr>
      <w:pStyle w:val="28"/>
      <w:pBdr>
        <w:top w:val="single" w:color="auto" w:sz="4" w:space="1"/>
      </w:pBdr>
      <w:tabs>
        <w:tab w:val="left" w:pos="5565"/>
        <w:tab w:val="clear" w:pos="4153"/>
        <w:tab w:val="clear" w:pos="8306"/>
      </w:tabs>
      <w:ind w:firstLine="4050" w:firstLineChars="225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4E804">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C24E804">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00AF">
    <w:pPr>
      <w:pStyle w:val="28"/>
      <w:jc w:val="right"/>
      <w:rPr>
        <w:rFonts w:eastAsia="仿宋_GB2312"/>
        <w:sz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DD1B9">
                          <w:pPr>
                            <w:pStyle w:val="2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14DD1B9">
                    <w:pPr>
                      <w:pStyle w:val="2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BE09">
    <w:pPr>
      <w:pStyle w:val="28"/>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E073">
                          <w:pPr>
                            <w:pStyle w:val="2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22AE073">
                    <w:pPr>
                      <w:pStyle w:val="28"/>
                    </w:pPr>
                    <w:r>
                      <w:fldChar w:fldCharType="begin"/>
                    </w:r>
                    <w:r>
                      <w:instrText xml:space="preserve"> PAGE  \* MERGEFORMAT </w:instrText>
                    </w:r>
                    <w:r>
                      <w:fldChar w:fldCharType="separate"/>
                    </w:r>
                    <w:r>
                      <w:t>47</w:t>
                    </w:r>
                    <w:r>
                      <w:fldChar w:fldCharType="end"/>
                    </w:r>
                  </w:p>
                </w:txbxContent>
              </v:textbox>
            </v:shape>
          </w:pict>
        </mc:Fallback>
      </mc:AlternateContent>
    </w:r>
  </w:p>
  <w:p w14:paraId="270FF47E">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760F">
    <w:pPr>
      <w:pStyle w:val="2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6810">
    <w:pPr>
      <w:spacing w:before="0"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5560060</wp:posOffset>
              </wp:positionH>
              <wp:positionV relativeFrom="page">
                <wp:posOffset>906780</wp:posOffset>
              </wp:positionV>
              <wp:extent cx="1292225" cy="1651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92225" cy="165100"/>
                      </a:xfrm>
                      <a:prstGeom prst="rect">
                        <a:avLst/>
                      </a:prstGeom>
                      <a:noFill/>
                      <a:ln>
                        <a:noFill/>
                      </a:ln>
                    </wps:spPr>
                    <wps:txbx>
                      <w:txbxContent>
                        <w:p w14:paraId="4055DA10"/>
                      </w:txbxContent>
                    </wps:txbx>
                    <wps:bodyPr lIns="0" tIns="0" rIns="0" bIns="0" upright="1"/>
                  </wps:wsp>
                </a:graphicData>
              </a:graphic>
            </wp:anchor>
          </w:drawing>
        </mc:Choice>
        <mc:Fallback>
          <w:pict>
            <v:shape id="_x0000_s1026" o:spid="_x0000_s1026" o:spt="202" type="#_x0000_t202" style="position:absolute;left:0pt;margin-left:437.8pt;margin-top:71.4pt;height:13pt;width:101.75pt;mso-position-horizontal-relative:page;mso-position-vertical-relative:page;z-index:-251657216;mso-width-relative:page;mso-height-relative:page;" filled="f" stroked="f" coordsize="21600,21600" o:gfxdata="UEsDBAoAAAAAAIdO4kAAAAAAAAAAAAAAAAAEAAAAZHJzL1BLAwQUAAAACACHTuJATn50cNoAAAAM&#10;AQAADwAAAGRycy9kb3ducmV2LnhtbE2PzU7DMBCE70i8g7VI3KidCtI0xKkQghMSIg0Hjk68TaLG&#10;6xC7P7w92xPcdjSfZmeKzdmN4ohzGDxpSBYKBFLr7UCdhs/69S4DEaIha0ZPqOEHA2zK66vC5Naf&#10;qMLjNnaCQyjkRkMf45RLGdoenQkLPyGxt/OzM5Hl3Ek7mxOHu1EulUqlMwPxh95M+Nxju98enIan&#10;L6pehu/35qPaVUNdrxW9pXutb28S9Qgi4jn+wXCpz9Wh5E6NP5ANYtSQrR5SRtm4X/KGC6FW6wRE&#10;w1eaZSDLQv4fUf4CUEsDBBQAAAAIAIdO4kD4OCHxvAEAAHQDAAAOAAAAZHJzL2Uyb0RvYy54bWyt&#10;U0tu2zAQ3RfoHQjua0oCErSC5QCBkaJA0RZIewCaIi0C/GFIW/IF2ht01U33PZfP0SFtOWm6ySIb&#10;ajgcvnnvDbW8mawhewlRe9fRelFRIp3wvXbbjn77evfmLSUxcddz453s6EFGerN6/Wo5hlY2fvCm&#10;l0AQxMV2DB0dUgotY1EM0vK48EE6PFQeLE+4hS3rgY+Ibg1rquqajR76AF7IGDG7Ph3SMyI8B9Ar&#10;pYVce7Gz0qUTKkjDE0qKgw6RrgpbpaRIn5WKMhHTUVSayopNMN7kla2WvN0CD4MWZwr8ORSeaLJc&#10;O2x6gVrzxMkO9H9QVgvw0au0EN6yk5DiCKqoqyfe3A88yKIFrY7hYnp8OVjxaf8FiO472tSUOG5x&#10;4sefP46//hx/fyeYQ4PGEFusuw9YmaZbP+GzmfMRk1n3pMDmLyoieI72Hi72yikRkS8175qmuaJE&#10;4Fl9fVVXxX/2cDtATO+ltyQHHQUcX3GV7z/GhEywdC7JzZy/08aUERr3TwILc4Zl6ieKOUrTZjrr&#10;2fj+gHLMB4dm5ocxBzAHmznYBdDbAekU0QUSh1HInB9OnvbjfWn88LO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fnRw2gAAAAwBAAAPAAAAAAAAAAEAIAAAACIAAABkcnMvZG93bnJldi54bWxQ&#10;SwECFAAUAAAACACHTuJA+Dgh8bwBAAB0AwAADgAAAAAAAAABACAAAAApAQAAZHJzL2Uyb0RvYy54&#10;bWxQSwUGAAAAAAYABgBZAQAAVwUAAAAA&#10;">
              <v:fill on="f" focussize="0,0"/>
              <v:stroke on="f"/>
              <v:imagedata o:title=""/>
              <o:lock v:ext="edit" aspectratio="f"/>
              <v:textbox inset="0mm,0mm,0mm,0mm">
                <w:txbxContent>
                  <w:p w14:paraId="4055DA10"/>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BEE3">
    <w:pPr>
      <w:rPr>
        <w:rFonts w:ascii="隶书" w:eastAsia="隶书"/>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BDC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884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FA69">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47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F9F0">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2684E">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FE4D">
    <w:pPr>
      <w:rPr>
        <w:rFonts w:ascii="隶书" w:eastAsia="隶书"/>
        <w:b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1CFE">
    <w:pPr>
      <w:rPr>
        <w:rFonts w:ascii="隶书" w:eastAsia="隶书"/>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9FB34"/>
    <w:multiLevelType w:val="singleLevel"/>
    <w:tmpl w:val="9159FB34"/>
    <w:lvl w:ilvl="0" w:tentative="0">
      <w:start w:val="1"/>
      <w:numFmt w:val="decimal"/>
      <w:lvlText w:val="(%1)"/>
      <w:lvlJc w:val="left"/>
      <w:pPr>
        <w:tabs>
          <w:tab w:val="left" w:pos="312"/>
        </w:tabs>
      </w:pPr>
    </w:lvl>
  </w:abstractNum>
  <w:abstractNum w:abstractNumId="1">
    <w:nsid w:val="E21B85C9"/>
    <w:multiLevelType w:val="singleLevel"/>
    <w:tmpl w:val="E21B85C9"/>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japaneseCounting"/>
      <w:lvlText w:val="第%1章"/>
      <w:lvlJc w:val="left"/>
      <w:pPr>
        <w:ind w:left="2235" w:hanging="180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00000011"/>
    <w:multiLevelType w:val="multilevel"/>
    <w:tmpl w:val="00000011"/>
    <w:lvl w:ilvl="0" w:tentative="0">
      <w:start w:val="2"/>
      <w:numFmt w:val="decimal"/>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12"/>
    <w:multiLevelType w:val="multilevel"/>
    <w:tmpl w:val="00000012"/>
    <w:lvl w:ilvl="0" w:tentative="0">
      <w:start w:val="1"/>
      <w:numFmt w:val="decimal"/>
      <w:lvlText w:val="%1"/>
      <w:lvlJc w:val="left"/>
    </w:lvl>
    <w:lvl w:ilvl="1" w:tentative="0">
      <w:start w:val="3"/>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18"/>
    <w:multiLevelType w:val="multilevel"/>
    <w:tmpl w:val="00000018"/>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0000001E"/>
    <w:multiLevelType w:val="multilevel"/>
    <w:tmpl w:val="0000001E"/>
    <w:lvl w:ilvl="0" w:tentative="0">
      <w:start w:val="4"/>
      <w:numFmt w:val="decimal"/>
      <w:lvlText w:val="%1."/>
      <w:lvlJc w:val="left"/>
    </w:lvl>
    <w:lvl w:ilvl="1" w:tentative="0">
      <w:start w:val="1"/>
      <w:numFmt w:val="decimal"/>
      <w:lvlText w:val="4.%2"/>
      <w:lvlJc w:val="left"/>
    </w:lvl>
    <w:lvl w:ilvl="2" w:tentative="0">
      <w:start w:val="1"/>
      <w:numFmt w:val="decimal"/>
      <w:lvlText w:val="4.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20"/>
    <w:multiLevelType w:val="multilevel"/>
    <w:tmpl w:val="00000020"/>
    <w:lvl w:ilvl="0" w:tentative="0">
      <w:start w:val="2"/>
      <w:numFmt w:val="decimal"/>
      <w:lvlText w:val="4.%1"/>
      <w:lvlJc w:val="left"/>
    </w:lvl>
    <w:lvl w:ilvl="1" w:tentative="0">
      <w:start w:val="1"/>
      <w:numFmt w:val="decimal"/>
      <w:lvlText w:val="4.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22"/>
    <w:multiLevelType w:val="multilevel"/>
    <w:tmpl w:val="00000022"/>
    <w:lvl w:ilvl="0" w:tentative="0">
      <w:start w:val="4"/>
      <w:numFmt w:val="decimal"/>
      <w:lvlText w:val="4.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A188774"/>
    <w:multiLevelType w:val="singleLevel"/>
    <w:tmpl w:val="0A188774"/>
    <w:lvl w:ilvl="0" w:tentative="0">
      <w:start w:val="2"/>
      <w:numFmt w:val="decimal"/>
      <w:suff w:val="nothing"/>
      <w:lvlText w:val="%1、"/>
      <w:lvlJc w:val="left"/>
    </w:lvl>
  </w:abstractNum>
  <w:abstractNum w:abstractNumId="10">
    <w:nsid w:val="1B8991E7"/>
    <w:multiLevelType w:val="singleLevel"/>
    <w:tmpl w:val="1B8991E7"/>
    <w:lvl w:ilvl="0" w:tentative="0">
      <w:start w:val="1"/>
      <w:numFmt w:val="decimal"/>
      <w:suff w:val="nothing"/>
      <w:lvlText w:val="%1、"/>
      <w:lvlJc w:val="left"/>
    </w:lvl>
  </w:abstractNum>
  <w:abstractNum w:abstractNumId="11">
    <w:nsid w:val="442E3F83"/>
    <w:multiLevelType w:val="singleLevel"/>
    <w:tmpl w:val="442E3F83"/>
    <w:lvl w:ilvl="0" w:tentative="0">
      <w:start w:val="3"/>
      <w:numFmt w:val="chineseCounting"/>
      <w:suff w:val="nothing"/>
      <w:lvlText w:val="%1、"/>
      <w:lvlJc w:val="left"/>
      <w:rPr>
        <w:rFonts w:hint="eastAsia"/>
      </w:rPr>
    </w:lvl>
  </w:abstractNum>
  <w:abstractNum w:abstractNumId="12">
    <w:nsid w:val="535778F6"/>
    <w:multiLevelType w:val="multilevel"/>
    <w:tmpl w:val="535778F6"/>
    <w:lvl w:ilvl="0" w:tentative="0">
      <w:start w:val="1"/>
      <w:numFmt w:val="chineseCountingThousand"/>
      <w:pStyle w:val="262"/>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7EB5E829"/>
    <w:multiLevelType w:val="singleLevel"/>
    <w:tmpl w:val="7EB5E829"/>
    <w:lvl w:ilvl="0" w:tentative="0">
      <w:start w:val="1"/>
      <w:numFmt w:val="decimal"/>
      <w:suff w:val="nothing"/>
      <w:lvlText w:val="%1、"/>
      <w:lvlJc w:val="left"/>
    </w:lvl>
  </w:abstractNum>
  <w:num w:numId="1">
    <w:abstractNumId w:val="12"/>
  </w:num>
  <w:num w:numId="2">
    <w:abstractNumId w:val="2"/>
  </w:num>
  <w:num w:numId="3">
    <w:abstractNumId w:val="11"/>
  </w:num>
  <w:num w:numId="4">
    <w:abstractNumId w:val="9"/>
  </w:num>
  <w:num w:numId="5">
    <w:abstractNumId w:val="13"/>
  </w:num>
  <w:num w:numId="6">
    <w:abstractNumId w:val="5"/>
  </w:num>
  <w:num w:numId="7">
    <w:abstractNumId w:val="3"/>
  </w:num>
  <w:num w:numId="8">
    <w:abstractNumId w:val="4"/>
  </w:num>
  <w:num w:numId="9">
    <w:abstractNumId w:val="6"/>
  </w:num>
  <w:num w:numId="10">
    <w:abstractNumId w:val="7"/>
  </w:num>
  <w:num w:numId="11">
    <w:abstractNumId w:val="8"/>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readOnly" w:formatting="1" w:enforcement="0"/>
  <w:defaultTabStop w:val="420"/>
  <w:drawingGridHorizontalSpacing w:val="105"/>
  <w:drawingGridVerticalSpacing w:val="14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YzAxYmZkNTc3NzZjMzQzMzhmMzc5MmM1OWNlMTUifQ=="/>
  </w:docVars>
  <w:rsids>
    <w:rsidRoot w:val="00172A27"/>
    <w:rsid w:val="00000386"/>
    <w:rsid w:val="00001E81"/>
    <w:rsid w:val="00001FB9"/>
    <w:rsid w:val="00003247"/>
    <w:rsid w:val="000045E0"/>
    <w:rsid w:val="000056C1"/>
    <w:rsid w:val="0001028B"/>
    <w:rsid w:val="00011B85"/>
    <w:rsid w:val="00012C1A"/>
    <w:rsid w:val="00013026"/>
    <w:rsid w:val="00013FDD"/>
    <w:rsid w:val="0001499E"/>
    <w:rsid w:val="0001529B"/>
    <w:rsid w:val="00020BFD"/>
    <w:rsid w:val="00021ACA"/>
    <w:rsid w:val="00022293"/>
    <w:rsid w:val="0002264A"/>
    <w:rsid w:val="00025518"/>
    <w:rsid w:val="000273BE"/>
    <w:rsid w:val="00027D14"/>
    <w:rsid w:val="00030366"/>
    <w:rsid w:val="000305DA"/>
    <w:rsid w:val="000313EB"/>
    <w:rsid w:val="000346E8"/>
    <w:rsid w:val="00034F9D"/>
    <w:rsid w:val="00034FCD"/>
    <w:rsid w:val="000404ED"/>
    <w:rsid w:val="00042F6D"/>
    <w:rsid w:val="0004397A"/>
    <w:rsid w:val="000466D8"/>
    <w:rsid w:val="0005005D"/>
    <w:rsid w:val="0005026B"/>
    <w:rsid w:val="0005064C"/>
    <w:rsid w:val="00050A5A"/>
    <w:rsid w:val="00051E80"/>
    <w:rsid w:val="000539C3"/>
    <w:rsid w:val="00056D91"/>
    <w:rsid w:val="00060D21"/>
    <w:rsid w:val="000619EE"/>
    <w:rsid w:val="00062F28"/>
    <w:rsid w:val="000657B9"/>
    <w:rsid w:val="00066F10"/>
    <w:rsid w:val="00073225"/>
    <w:rsid w:val="00073ABA"/>
    <w:rsid w:val="0007478E"/>
    <w:rsid w:val="00080858"/>
    <w:rsid w:val="00081100"/>
    <w:rsid w:val="00082C35"/>
    <w:rsid w:val="00083677"/>
    <w:rsid w:val="00084379"/>
    <w:rsid w:val="00085FDC"/>
    <w:rsid w:val="00087252"/>
    <w:rsid w:val="00087818"/>
    <w:rsid w:val="000878AD"/>
    <w:rsid w:val="000934F4"/>
    <w:rsid w:val="00095AAB"/>
    <w:rsid w:val="00096192"/>
    <w:rsid w:val="000A2AC2"/>
    <w:rsid w:val="000A2B5B"/>
    <w:rsid w:val="000A324B"/>
    <w:rsid w:val="000A3622"/>
    <w:rsid w:val="000A6B31"/>
    <w:rsid w:val="000A75F2"/>
    <w:rsid w:val="000B0ADF"/>
    <w:rsid w:val="000B0F42"/>
    <w:rsid w:val="000B11DC"/>
    <w:rsid w:val="000B3E38"/>
    <w:rsid w:val="000B4D48"/>
    <w:rsid w:val="000B549B"/>
    <w:rsid w:val="000B5D46"/>
    <w:rsid w:val="000B5F90"/>
    <w:rsid w:val="000B6BFE"/>
    <w:rsid w:val="000C04E3"/>
    <w:rsid w:val="000C0685"/>
    <w:rsid w:val="000C0BE5"/>
    <w:rsid w:val="000C5EC3"/>
    <w:rsid w:val="000C6552"/>
    <w:rsid w:val="000C6EBA"/>
    <w:rsid w:val="000C7E0A"/>
    <w:rsid w:val="000D58D1"/>
    <w:rsid w:val="000D5B3E"/>
    <w:rsid w:val="000E048D"/>
    <w:rsid w:val="000E1579"/>
    <w:rsid w:val="000E30F5"/>
    <w:rsid w:val="000E42B1"/>
    <w:rsid w:val="000E453E"/>
    <w:rsid w:val="000E4FC7"/>
    <w:rsid w:val="000E5380"/>
    <w:rsid w:val="000E63C7"/>
    <w:rsid w:val="000E67A0"/>
    <w:rsid w:val="000E6997"/>
    <w:rsid w:val="000F13C1"/>
    <w:rsid w:val="000F1541"/>
    <w:rsid w:val="000F57AC"/>
    <w:rsid w:val="000F77C3"/>
    <w:rsid w:val="001005DC"/>
    <w:rsid w:val="00101C36"/>
    <w:rsid w:val="00106F60"/>
    <w:rsid w:val="00107A15"/>
    <w:rsid w:val="00111E20"/>
    <w:rsid w:val="00114667"/>
    <w:rsid w:val="001149D3"/>
    <w:rsid w:val="00114C72"/>
    <w:rsid w:val="001156D0"/>
    <w:rsid w:val="00121736"/>
    <w:rsid w:val="00123B8B"/>
    <w:rsid w:val="00124747"/>
    <w:rsid w:val="00125E6F"/>
    <w:rsid w:val="0013004B"/>
    <w:rsid w:val="00137C8C"/>
    <w:rsid w:val="00141448"/>
    <w:rsid w:val="00142B25"/>
    <w:rsid w:val="001434E0"/>
    <w:rsid w:val="00144CB0"/>
    <w:rsid w:val="00146E69"/>
    <w:rsid w:val="001474AA"/>
    <w:rsid w:val="001478F2"/>
    <w:rsid w:val="0015206F"/>
    <w:rsid w:val="00153549"/>
    <w:rsid w:val="00154B99"/>
    <w:rsid w:val="00156076"/>
    <w:rsid w:val="00156A75"/>
    <w:rsid w:val="00157A96"/>
    <w:rsid w:val="001618CF"/>
    <w:rsid w:val="0016495D"/>
    <w:rsid w:val="00164A5E"/>
    <w:rsid w:val="00164ECA"/>
    <w:rsid w:val="00166110"/>
    <w:rsid w:val="001662D7"/>
    <w:rsid w:val="00166E66"/>
    <w:rsid w:val="00166F8D"/>
    <w:rsid w:val="00167251"/>
    <w:rsid w:val="0016756F"/>
    <w:rsid w:val="00172A27"/>
    <w:rsid w:val="0017492E"/>
    <w:rsid w:val="00175FA8"/>
    <w:rsid w:val="00176D3D"/>
    <w:rsid w:val="0017716F"/>
    <w:rsid w:val="00177FA7"/>
    <w:rsid w:val="00183632"/>
    <w:rsid w:val="00185A06"/>
    <w:rsid w:val="00187830"/>
    <w:rsid w:val="00187E85"/>
    <w:rsid w:val="00190939"/>
    <w:rsid w:val="00192348"/>
    <w:rsid w:val="001927FD"/>
    <w:rsid w:val="00193F3F"/>
    <w:rsid w:val="001963DC"/>
    <w:rsid w:val="001A2390"/>
    <w:rsid w:val="001A6217"/>
    <w:rsid w:val="001A645F"/>
    <w:rsid w:val="001A6D43"/>
    <w:rsid w:val="001A748D"/>
    <w:rsid w:val="001B2899"/>
    <w:rsid w:val="001B2B94"/>
    <w:rsid w:val="001B7783"/>
    <w:rsid w:val="001B7D39"/>
    <w:rsid w:val="001C0D24"/>
    <w:rsid w:val="001C0D86"/>
    <w:rsid w:val="001C102B"/>
    <w:rsid w:val="001D0247"/>
    <w:rsid w:val="001D1CD8"/>
    <w:rsid w:val="001D259A"/>
    <w:rsid w:val="001D2778"/>
    <w:rsid w:val="001D314B"/>
    <w:rsid w:val="001D31D7"/>
    <w:rsid w:val="001D5338"/>
    <w:rsid w:val="001D69F8"/>
    <w:rsid w:val="001D6DCF"/>
    <w:rsid w:val="001D7354"/>
    <w:rsid w:val="001E5A5E"/>
    <w:rsid w:val="001E661B"/>
    <w:rsid w:val="001E7685"/>
    <w:rsid w:val="001E778E"/>
    <w:rsid w:val="001E7A25"/>
    <w:rsid w:val="001F009B"/>
    <w:rsid w:val="001F0189"/>
    <w:rsid w:val="001F0B61"/>
    <w:rsid w:val="001F1F6D"/>
    <w:rsid w:val="001F43B9"/>
    <w:rsid w:val="001F44C6"/>
    <w:rsid w:val="001F68AE"/>
    <w:rsid w:val="001F7E17"/>
    <w:rsid w:val="00200BD1"/>
    <w:rsid w:val="0020186D"/>
    <w:rsid w:val="00201AFE"/>
    <w:rsid w:val="00201F6F"/>
    <w:rsid w:val="00203C0B"/>
    <w:rsid w:val="00204FA2"/>
    <w:rsid w:val="00207A89"/>
    <w:rsid w:val="00207F5E"/>
    <w:rsid w:val="0021186E"/>
    <w:rsid w:val="00212764"/>
    <w:rsid w:val="002138BC"/>
    <w:rsid w:val="002142FB"/>
    <w:rsid w:val="00216803"/>
    <w:rsid w:val="00217FB8"/>
    <w:rsid w:val="002220A3"/>
    <w:rsid w:val="002224DD"/>
    <w:rsid w:val="002226E2"/>
    <w:rsid w:val="00223981"/>
    <w:rsid w:val="00224831"/>
    <w:rsid w:val="002256E1"/>
    <w:rsid w:val="00230913"/>
    <w:rsid w:val="00231C9E"/>
    <w:rsid w:val="00234530"/>
    <w:rsid w:val="00235D04"/>
    <w:rsid w:val="00235D64"/>
    <w:rsid w:val="0023640C"/>
    <w:rsid w:val="00236A18"/>
    <w:rsid w:val="00237709"/>
    <w:rsid w:val="002409BC"/>
    <w:rsid w:val="0024322C"/>
    <w:rsid w:val="002432C9"/>
    <w:rsid w:val="00243CD4"/>
    <w:rsid w:val="00245108"/>
    <w:rsid w:val="00245216"/>
    <w:rsid w:val="002529E7"/>
    <w:rsid w:val="002540EE"/>
    <w:rsid w:val="00255CD1"/>
    <w:rsid w:val="002565B9"/>
    <w:rsid w:val="00257024"/>
    <w:rsid w:val="00261E67"/>
    <w:rsid w:val="0026335B"/>
    <w:rsid w:val="0026466E"/>
    <w:rsid w:val="00265594"/>
    <w:rsid w:val="0026570A"/>
    <w:rsid w:val="0026579D"/>
    <w:rsid w:val="00266763"/>
    <w:rsid w:val="0027088A"/>
    <w:rsid w:val="00270FC1"/>
    <w:rsid w:val="00271E96"/>
    <w:rsid w:val="002742CB"/>
    <w:rsid w:val="00275A29"/>
    <w:rsid w:val="00275C8F"/>
    <w:rsid w:val="00275FC6"/>
    <w:rsid w:val="00280C57"/>
    <w:rsid w:val="00281274"/>
    <w:rsid w:val="00281623"/>
    <w:rsid w:val="00286B32"/>
    <w:rsid w:val="0029018B"/>
    <w:rsid w:val="0029216A"/>
    <w:rsid w:val="002932E4"/>
    <w:rsid w:val="00293A87"/>
    <w:rsid w:val="002959B3"/>
    <w:rsid w:val="00296BC4"/>
    <w:rsid w:val="00296D2C"/>
    <w:rsid w:val="00297DF6"/>
    <w:rsid w:val="00297F51"/>
    <w:rsid w:val="002A0665"/>
    <w:rsid w:val="002A08D1"/>
    <w:rsid w:val="002A1007"/>
    <w:rsid w:val="002A20A5"/>
    <w:rsid w:val="002A20C5"/>
    <w:rsid w:val="002A226D"/>
    <w:rsid w:val="002A3656"/>
    <w:rsid w:val="002A3C2B"/>
    <w:rsid w:val="002A3F40"/>
    <w:rsid w:val="002A4360"/>
    <w:rsid w:val="002A4869"/>
    <w:rsid w:val="002A67BE"/>
    <w:rsid w:val="002A6A71"/>
    <w:rsid w:val="002A6F07"/>
    <w:rsid w:val="002B647A"/>
    <w:rsid w:val="002C2ACF"/>
    <w:rsid w:val="002C3295"/>
    <w:rsid w:val="002C34AC"/>
    <w:rsid w:val="002C3EF4"/>
    <w:rsid w:val="002C6318"/>
    <w:rsid w:val="002D190E"/>
    <w:rsid w:val="002D26D1"/>
    <w:rsid w:val="002D36BC"/>
    <w:rsid w:val="002D4A18"/>
    <w:rsid w:val="002D5EF7"/>
    <w:rsid w:val="002D6212"/>
    <w:rsid w:val="002D697B"/>
    <w:rsid w:val="002E0F91"/>
    <w:rsid w:val="002E6EEA"/>
    <w:rsid w:val="002F1A21"/>
    <w:rsid w:val="002F39A2"/>
    <w:rsid w:val="002F3B98"/>
    <w:rsid w:val="002F4089"/>
    <w:rsid w:val="002F5DB1"/>
    <w:rsid w:val="002F60B6"/>
    <w:rsid w:val="002F7744"/>
    <w:rsid w:val="002F799E"/>
    <w:rsid w:val="003001FB"/>
    <w:rsid w:val="003009A7"/>
    <w:rsid w:val="00301334"/>
    <w:rsid w:val="00301CBE"/>
    <w:rsid w:val="00301F75"/>
    <w:rsid w:val="003051CC"/>
    <w:rsid w:val="00306D34"/>
    <w:rsid w:val="00310757"/>
    <w:rsid w:val="00316270"/>
    <w:rsid w:val="00316A8E"/>
    <w:rsid w:val="00316E26"/>
    <w:rsid w:val="003175C9"/>
    <w:rsid w:val="003235DA"/>
    <w:rsid w:val="00325550"/>
    <w:rsid w:val="00330DBB"/>
    <w:rsid w:val="00332287"/>
    <w:rsid w:val="00332C06"/>
    <w:rsid w:val="00332F59"/>
    <w:rsid w:val="00333398"/>
    <w:rsid w:val="00333C8C"/>
    <w:rsid w:val="00334052"/>
    <w:rsid w:val="00335B68"/>
    <w:rsid w:val="003411AC"/>
    <w:rsid w:val="003411DE"/>
    <w:rsid w:val="003462CD"/>
    <w:rsid w:val="00346524"/>
    <w:rsid w:val="00346C1F"/>
    <w:rsid w:val="003479C2"/>
    <w:rsid w:val="00351A2E"/>
    <w:rsid w:val="00351EB1"/>
    <w:rsid w:val="003534A8"/>
    <w:rsid w:val="0035430F"/>
    <w:rsid w:val="003552B6"/>
    <w:rsid w:val="00355BC0"/>
    <w:rsid w:val="0036183A"/>
    <w:rsid w:val="003638C3"/>
    <w:rsid w:val="00364E98"/>
    <w:rsid w:val="00373B83"/>
    <w:rsid w:val="00375BC0"/>
    <w:rsid w:val="003761C5"/>
    <w:rsid w:val="00381F1C"/>
    <w:rsid w:val="00383852"/>
    <w:rsid w:val="00384784"/>
    <w:rsid w:val="00384F86"/>
    <w:rsid w:val="00385139"/>
    <w:rsid w:val="00386B54"/>
    <w:rsid w:val="0039233F"/>
    <w:rsid w:val="00392CC4"/>
    <w:rsid w:val="0039457A"/>
    <w:rsid w:val="003978A1"/>
    <w:rsid w:val="003A18BA"/>
    <w:rsid w:val="003A205D"/>
    <w:rsid w:val="003A423D"/>
    <w:rsid w:val="003A4B1E"/>
    <w:rsid w:val="003A5F50"/>
    <w:rsid w:val="003A7109"/>
    <w:rsid w:val="003B3EFA"/>
    <w:rsid w:val="003C021F"/>
    <w:rsid w:val="003C081E"/>
    <w:rsid w:val="003C2082"/>
    <w:rsid w:val="003C33B1"/>
    <w:rsid w:val="003C393E"/>
    <w:rsid w:val="003C50A4"/>
    <w:rsid w:val="003C6657"/>
    <w:rsid w:val="003C79A3"/>
    <w:rsid w:val="003D27D0"/>
    <w:rsid w:val="003D2F3C"/>
    <w:rsid w:val="003D301D"/>
    <w:rsid w:val="003D5816"/>
    <w:rsid w:val="003D6C36"/>
    <w:rsid w:val="003D79E3"/>
    <w:rsid w:val="003D79EF"/>
    <w:rsid w:val="003D7ADD"/>
    <w:rsid w:val="003E101F"/>
    <w:rsid w:val="003E1A2E"/>
    <w:rsid w:val="003E3CE5"/>
    <w:rsid w:val="003E6002"/>
    <w:rsid w:val="003E6118"/>
    <w:rsid w:val="003E66B0"/>
    <w:rsid w:val="003E6C6F"/>
    <w:rsid w:val="003E75B3"/>
    <w:rsid w:val="003F0C06"/>
    <w:rsid w:val="003F4301"/>
    <w:rsid w:val="003F6C39"/>
    <w:rsid w:val="0040035D"/>
    <w:rsid w:val="004039DC"/>
    <w:rsid w:val="00403D53"/>
    <w:rsid w:val="004041AA"/>
    <w:rsid w:val="0040601B"/>
    <w:rsid w:val="00410BA1"/>
    <w:rsid w:val="004118C9"/>
    <w:rsid w:val="00411AEC"/>
    <w:rsid w:val="00411C9E"/>
    <w:rsid w:val="00412252"/>
    <w:rsid w:val="004146C5"/>
    <w:rsid w:val="00415153"/>
    <w:rsid w:val="004158A2"/>
    <w:rsid w:val="00416097"/>
    <w:rsid w:val="0042323E"/>
    <w:rsid w:val="004242A0"/>
    <w:rsid w:val="00424628"/>
    <w:rsid w:val="00425526"/>
    <w:rsid w:val="004267FD"/>
    <w:rsid w:val="00432C01"/>
    <w:rsid w:val="004334AF"/>
    <w:rsid w:val="004353B1"/>
    <w:rsid w:val="00435833"/>
    <w:rsid w:val="00437930"/>
    <w:rsid w:val="0044016C"/>
    <w:rsid w:val="004434E3"/>
    <w:rsid w:val="0044437F"/>
    <w:rsid w:val="00444DF7"/>
    <w:rsid w:val="004475BF"/>
    <w:rsid w:val="00450184"/>
    <w:rsid w:val="00450C6B"/>
    <w:rsid w:val="00457BCB"/>
    <w:rsid w:val="00461078"/>
    <w:rsid w:val="00463E75"/>
    <w:rsid w:val="00464853"/>
    <w:rsid w:val="0046494D"/>
    <w:rsid w:val="0046777B"/>
    <w:rsid w:val="00467E8A"/>
    <w:rsid w:val="00471536"/>
    <w:rsid w:val="004718AB"/>
    <w:rsid w:val="00471EE1"/>
    <w:rsid w:val="00480C76"/>
    <w:rsid w:val="00481272"/>
    <w:rsid w:val="00483095"/>
    <w:rsid w:val="00484F7A"/>
    <w:rsid w:val="00485696"/>
    <w:rsid w:val="00486996"/>
    <w:rsid w:val="00491723"/>
    <w:rsid w:val="00493360"/>
    <w:rsid w:val="0049361C"/>
    <w:rsid w:val="00494EDA"/>
    <w:rsid w:val="00495572"/>
    <w:rsid w:val="004A018A"/>
    <w:rsid w:val="004A0520"/>
    <w:rsid w:val="004A1487"/>
    <w:rsid w:val="004A2F07"/>
    <w:rsid w:val="004A45E1"/>
    <w:rsid w:val="004B01DF"/>
    <w:rsid w:val="004B0D73"/>
    <w:rsid w:val="004B0D7C"/>
    <w:rsid w:val="004B1FB1"/>
    <w:rsid w:val="004B2309"/>
    <w:rsid w:val="004B2F3E"/>
    <w:rsid w:val="004B3DEE"/>
    <w:rsid w:val="004B3E04"/>
    <w:rsid w:val="004B7A3F"/>
    <w:rsid w:val="004C07B7"/>
    <w:rsid w:val="004C0F5C"/>
    <w:rsid w:val="004C2C75"/>
    <w:rsid w:val="004C37E6"/>
    <w:rsid w:val="004C3911"/>
    <w:rsid w:val="004D0236"/>
    <w:rsid w:val="004D04E2"/>
    <w:rsid w:val="004D0C1E"/>
    <w:rsid w:val="004D19B1"/>
    <w:rsid w:val="004D2798"/>
    <w:rsid w:val="004D3D37"/>
    <w:rsid w:val="004D4BF9"/>
    <w:rsid w:val="004D5CC4"/>
    <w:rsid w:val="004E1797"/>
    <w:rsid w:val="004E31F8"/>
    <w:rsid w:val="004E37E4"/>
    <w:rsid w:val="004E44EA"/>
    <w:rsid w:val="004E49A8"/>
    <w:rsid w:val="004E5254"/>
    <w:rsid w:val="004E67BA"/>
    <w:rsid w:val="004F3115"/>
    <w:rsid w:val="004F392E"/>
    <w:rsid w:val="004F6AF1"/>
    <w:rsid w:val="005000D1"/>
    <w:rsid w:val="00500571"/>
    <w:rsid w:val="00502E02"/>
    <w:rsid w:val="00505869"/>
    <w:rsid w:val="00505A2A"/>
    <w:rsid w:val="00505A73"/>
    <w:rsid w:val="00505CA5"/>
    <w:rsid w:val="0050625A"/>
    <w:rsid w:val="00511DA7"/>
    <w:rsid w:val="005145B4"/>
    <w:rsid w:val="00516578"/>
    <w:rsid w:val="00517716"/>
    <w:rsid w:val="005208B1"/>
    <w:rsid w:val="00522C5C"/>
    <w:rsid w:val="005250E5"/>
    <w:rsid w:val="0052514F"/>
    <w:rsid w:val="00532465"/>
    <w:rsid w:val="00532A74"/>
    <w:rsid w:val="005338C0"/>
    <w:rsid w:val="00534892"/>
    <w:rsid w:val="00535DED"/>
    <w:rsid w:val="00536BFE"/>
    <w:rsid w:val="005373EF"/>
    <w:rsid w:val="00537D99"/>
    <w:rsid w:val="005407D7"/>
    <w:rsid w:val="00540E65"/>
    <w:rsid w:val="005410BF"/>
    <w:rsid w:val="00542178"/>
    <w:rsid w:val="005426A4"/>
    <w:rsid w:val="00556B59"/>
    <w:rsid w:val="00560AAD"/>
    <w:rsid w:val="005617E7"/>
    <w:rsid w:val="005619DE"/>
    <w:rsid w:val="0056225A"/>
    <w:rsid w:val="0056527E"/>
    <w:rsid w:val="005667E4"/>
    <w:rsid w:val="005670D9"/>
    <w:rsid w:val="005676CC"/>
    <w:rsid w:val="00567749"/>
    <w:rsid w:val="005720B9"/>
    <w:rsid w:val="00572770"/>
    <w:rsid w:val="00576E97"/>
    <w:rsid w:val="00581A84"/>
    <w:rsid w:val="00581DBF"/>
    <w:rsid w:val="00582BE2"/>
    <w:rsid w:val="00583231"/>
    <w:rsid w:val="0058385A"/>
    <w:rsid w:val="005838F8"/>
    <w:rsid w:val="00583C5F"/>
    <w:rsid w:val="00585ACC"/>
    <w:rsid w:val="0058638D"/>
    <w:rsid w:val="00586903"/>
    <w:rsid w:val="0058703B"/>
    <w:rsid w:val="005901A1"/>
    <w:rsid w:val="00590982"/>
    <w:rsid w:val="0059339E"/>
    <w:rsid w:val="00595AAF"/>
    <w:rsid w:val="005969E1"/>
    <w:rsid w:val="00597407"/>
    <w:rsid w:val="0059795E"/>
    <w:rsid w:val="00597C91"/>
    <w:rsid w:val="005A1B48"/>
    <w:rsid w:val="005A228B"/>
    <w:rsid w:val="005A2692"/>
    <w:rsid w:val="005A3E12"/>
    <w:rsid w:val="005A445F"/>
    <w:rsid w:val="005A59BB"/>
    <w:rsid w:val="005A6D9A"/>
    <w:rsid w:val="005B0806"/>
    <w:rsid w:val="005B16D5"/>
    <w:rsid w:val="005B3835"/>
    <w:rsid w:val="005B43EF"/>
    <w:rsid w:val="005B5C40"/>
    <w:rsid w:val="005B64BE"/>
    <w:rsid w:val="005B692B"/>
    <w:rsid w:val="005C149B"/>
    <w:rsid w:val="005C3EAE"/>
    <w:rsid w:val="005C4645"/>
    <w:rsid w:val="005D0B56"/>
    <w:rsid w:val="005D156D"/>
    <w:rsid w:val="005D22B2"/>
    <w:rsid w:val="005D55CB"/>
    <w:rsid w:val="005D5C4C"/>
    <w:rsid w:val="005D6006"/>
    <w:rsid w:val="005D7155"/>
    <w:rsid w:val="005E11AF"/>
    <w:rsid w:val="005E1568"/>
    <w:rsid w:val="005E163E"/>
    <w:rsid w:val="005E7EF3"/>
    <w:rsid w:val="005F1CBD"/>
    <w:rsid w:val="005F4902"/>
    <w:rsid w:val="005F6137"/>
    <w:rsid w:val="005F65C3"/>
    <w:rsid w:val="006009ED"/>
    <w:rsid w:val="00601C75"/>
    <w:rsid w:val="00602CF0"/>
    <w:rsid w:val="00603FF2"/>
    <w:rsid w:val="00611DEE"/>
    <w:rsid w:val="00613333"/>
    <w:rsid w:val="00613C33"/>
    <w:rsid w:val="00613D17"/>
    <w:rsid w:val="006154CD"/>
    <w:rsid w:val="00615E69"/>
    <w:rsid w:val="00617295"/>
    <w:rsid w:val="00617DE2"/>
    <w:rsid w:val="00623E9E"/>
    <w:rsid w:val="00624014"/>
    <w:rsid w:val="00624C65"/>
    <w:rsid w:val="00624C6A"/>
    <w:rsid w:val="00625B95"/>
    <w:rsid w:val="006267F4"/>
    <w:rsid w:val="00626DC4"/>
    <w:rsid w:val="00633942"/>
    <w:rsid w:val="00635BE9"/>
    <w:rsid w:val="00636294"/>
    <w:rsid w:val="00636F39"/>
    <w:rsid w:val="00644C13"/>
    <w:rsid w:val="00644DE5"/>
    <w:rsid w:val="00650321"/>
    <w:rsid w:val="0065390A"/>
    <w:rsid w:val="00653CB1"/>
    <w:rsid w:val="006542A1"/>
    <w:rsid w:val="0065631E"/>
    <w:rsid w:val="00656399"/>
    <w:rsid w:val="006600C5"/>
    <w:rsid w:val="0066081B"/>
    <w:rsid w:val="00661BA2"/>
    <w:rsid w:val="006657EC"/>
    <w:rsid w:val="00666F2E"/>
    <w:rsid w:val="00673EB6"/>
    <w:rsid w:val="00674155"/>
    <w:rsid w:val="006755DA"/>
    <w:rsid w:val="006764A6"/>
    <w:rsid w:val="00676D7F"/>
    <w:rsid w:val="00677CCA"/>
    <w:rsid w:val="00680CB1"/>
    <w:rsid w:val="00680EAE"/>
    <w:rsid w:val="00681BBC"/>
    <w:rsid w:val="00681D32"/>
    <w:rsid w:val="00682AB9"/>
    <w:rsid w:val="00683B53"/>
    <w:rsid w:val="006842DB"/>
    <w:rsid w:val="006849C6"/>
    <w:rsid w:val="00690ADC"/>
    <w:rsid w:val="00690C80"/>
    <w:rsid w:val="00690FD6"/>
    <w:rsid w:val="006911A1"/>
    <w:rsid w:val="006925B8"/>
    <w:rsid w:val="006931E0"/>
    <w:rsid w:val="00695DDB"/>
    <w:rsid w:val="006979D8"/>
    <w:rsid w:val="006A1275"/>
    <w:rsid w:val="006A6443"/>
    <w:rsid w:val="006B03E8"/>
    <w:rsid w:val="006B03FE"/>
    <w:rsid w:val="006B1965"/>
    <w:rsid w:val="006B27AD"/>
    <w:rsid w:val="006B4A93"/>
    <w:rsid w:val="006B7511"/>
    <w:rsid w:val="006B7B25"/>
    <w:rsid w:val="006C03DC"/>
    <w:rsid w:val="006C2FEB"/>
    <w:rsid w:val="006D0F27"/>
    <w:rsid w:val="006D3BB7"/>
    <w:rsid w:val="006D3E31"/>
    <w:rsid w:val="006D480A"/>
    <w:rsid w:val="006D58D3"/>
    <w:rsid w:val="006D58DA"/>
    <w:rsid w:val="006D5AD7"/>
    <w:rsid w:val="006D7BF0"/>
    <w:rsid w:val="006D7FF3"/>
    <w:rsid w:val="006E2F0E"/>
    <w:rsid w:val="006E330F"/>
    <w:rsid w:val="006E3D77"/>
    <w:rsid w:val="006E4514"/>
    <w:rsid w:val="006E72AB"/>
    <w:rsid w:val="006F219B"/>
    <w:rsid w:val="006F21E0"/>
    <w:rsid w:val="006F3E35"/>
    <w:rsid w:val="006F4AD1"/>
    <w:rsid w:val="0070067A"/>
    <w:rsid w:val="00700D68"/>
    <w:rsid w:val="00701BB9"/>
    <w:rsid w:val="00701CC6"/>
    <w:rsid w:val="007021C8"/>
    <w:rsid w:val="007021EF"/>
    <w:rsid w:val="0071075C"/>
    <w:rsid w:val="0071605F"/>
    <w:rsid w:val="00716A82"/>
    <w:rsid w:val="00716D7B"/>
    <w:rsid w:val="00717D4B"/>
    <w:rsid w:val="0072235D"/>
    <w:rsid w:val="00722E50"/>
    <w:rsid w:val="00724EB7"/>
    <w:rsid w:val="00725603"/>
    <w:rsid w:val="007275F6"/>
    <w:rsid w:val="00733077"/>
    <w:rsid w:val="00733086"/>
    <w:rsid w:val="00734AFF"/>
    <w:rsid w:val="007350CE"/>
    <w:rsid w:val="00736355"/>
    <w:rsid w:val="00737DF9"/>
    <w:rsid w:val="00741BB9"/>
    <w:rsid w:val="0074339F"/>
    <w:rsid w:val="0074569B"/>
    <w:rsid w:val="00745E2B"/>
    <w:rsid w:val="007465E1"/>
    <w:rsid w:val="007468F0"/>
    <w:rsid w:val="007476EF"/>
    <w:rsid w:val="007513AE"/>
    <w:rsid w:val="00752A40"/>
    <w:rsid w:val="007532CC"/>
    <w:rsid w:val="00754745"/>
    <w:rsid w:val="007554B9"/>
    <w:rsid w:val="00762006"/>
    <w:rsid w:val="00763867"/>
    <w:rsid w:val="007639E4"/>
    <w:rsid w:val="00763DD3"/>
    <w:rsid w:val="00764100"/>
    <w:rsid w:val="00764E0E"/>
    <w:rsid w:val="00765DA2"/>
    <w:rsid w:val="00770ADF"/>
    <w:rsid w:val="00772759"/>
    <w:rsid w:val="00773E8A"/>
    <w:rsid w:val="00777AB6"/>
    <w:rsid w:val="0078047B"/>
    <w:rsid w:val="00780912"/>
    <w:rsid w:val="00781EBD"/>
    <w:rsid w:val="00782234"/>
    <w:rsid w:val="007869CA"/>
    <w:rsid w:val="0078702E"/>
    <w:rsid w:val="0078716B"/>
    <w:rsid w:val="00790E22"/>
    <w:rsid w:val="00791C15"/>
    <w:rsid w:val="007921EF"/>
    <w:rsid w:val="00792DD7"/>
    <w:rsid w:val="00793049"/>
    <w:rsid w:val="0079784E"/>
    <w:rsid w:val="007A25F8"/>
    <w:rsid w:val="007A324D"/>
    <w:rsid w:val="007A45F9"/>
    <w:rsid w:val="007A5A04"/>
    <w:rsid w:val="007A7865"/>
    <w:rsid w:val="007B0EA5"/>
    <w:rsid w:val="007B3356"/>
    <w:rsid w:val="007B54DC"/>
    <w:rsid w:val="007B72E3"/>
    <w:rsid w:val="007B742E"/>
    <w:rsid w:val="007B7486"/>
    <w:rsid w:val="007C1EF5"/>
    <w:rsid w:val="007C1FE9"/>
    <w:rsid w:val="007C42F4"/>
    <w:rsid w:val="007C4E59"/>
    <w:rsid w:val="007C737C"/>
    <w:rsid w:val="007D1A04"/>
    <w:rsid w:val="007D1BB0"/>
    <w:rsid w:val="007D21CF"/>
    <w:rsid w:val="007D355E"/>
    <w:rsid w:val="007D72A1"/>
    <w:rsid w:val="007D76C3"/>
    <w:rsid w:val="007E1933"/>
    <w:rsid w:val="007E237B"/>
    <w:rsid w:val="007E41C5"/>
    <w:rsid w:val="007E45E9"/>
    <w:rsid w:val="007E4838"/>
    <w:rsid w:val="007E523E"/>
    <w:rsid w:val="007E61AB"/>
    <w:rsid w:val="007E6401"/>
    <w:rsid w:val="007E66C9"/>
    <w:rsid w:val="007F1DE5"/>
    <w:rsid w:val="007F25AB"/>
    <w:rsid w:val="007F2DCA"/>
    <w:rsid w:val="007F323B"/>
    <w:rsid w:val="007F3587"/>
    <w:rsid w:val="007F36C9"/>
    <w:rsid w:val="007F408F"/>
    <w:rsid w:val="007F5415"/>
    <w:rsid w:val="007F568D"/>
    <w:rsid w:val="007F58BA"/>
    <w:rsid w:val="007F7D64"/>
    <w:rsid w:val="0080032C"/>
    <w:rsid w:val="008007FB"/>
    <w:rsid w:val="00801908"/>
    <w:rsid w:val="00802003"/>
    <w:rsid w:val="00802AD5"/>
    <w:rsid w:val="00804327"/>
    <w:rsid w:val="00804DAE"/>
    <w:rsid w:val="00805892"/>
    <w:rsid w:val="00806823"/>
    <w:rsid w:val="00806B67"/>
    <w:rsid w:val="00807664"/>
    <w:rsid w:val="008118FD"/>
    <w:rsid w:val="008124DD"/>
    <w:rsid w:val="008125D3"/>
    <w:rsid w:val="00815E3D"/>
    <w:rsid w:val="008161F5"/>
    <w:rsid w:val="008202A2"/>
    <w:rsid w:val="00822154"/>
    <w:rsid w:val="008238A6"/>
    <w:rsid w:val="008244A2"/>
    <w:rsid w:val="008258CF"/>
    <w:rsid w:val="008262BB"/>
    <w:rsid w:val="0083087D"/>
    <w:rsid w:val="008331A4"/>
    <w:rsid w:val="00834184"/>
    <w:rsid w:val="00836B73"/>
    <w:rsid w:val="008406D0"/>
    <w:rsid w:val="00840904"/>
    <w:rsid w:val="008422CE"/>
    <w:rsid w:val="0084605C"/>
    <w:rsid w:val="00851F5F"/>
    <w:rsid w:val="008565FA"/>
    <w:rsid w:val="008605B3"/>
    <w:rsid w:val="00860B4D"/>
    <w:rsid w:val="00861836"/>
    <w:rsid w:val="00862319"/>
    <w:rsid w:val="00864021"/>
    <w:rsid w:val="00864965"/>
    <w:rsid w:val="008654F3"/>
    <w:rsid w:val="0086610F"/>
    <w:rsid w:val="00870F6A"/>
    <w:rsid w:val="00871A59"/>
    <w:rsid w:val="00873765"/>
    <w:rsid w:val="00873ED2"/>
    <w:rsid w:val="00876708"/>
    <w:rsid w:val="00877DC5"/>
    <w:rsid w:val="00882B89"/>
    <w:rsid w:val="00882C85"/>
    <w:rsid w:val="00885823"/>
    <w:rsid w:val="00887BB4"/>
    <w:rsid w:val="0089036A"/>
    <w:rsid w:val="00890FD3"/>
    <w:rsid w:val="008914E4"/>
    <w:rsid w:val="008919E1"/>
    <w:rsid w:val="00891C8F"/>
    <w:rsid w:val="0089278C"/>
    <w:rsid w:val="00893045"/>
    <w:rsid w:val="00893179"/>
    <w:rsid w:val="00893BEA"/>
    <w:rsid w:val="0089444E"/>
    <w:rsid w:val="008951EA"/>
    <w:rsid w:val="00896526"/>
    <w:rsid w:val="00897196"/>
    <w:rsid w:val="008A4BEB"/>
    <w:rsid w:val="008A7361"/>
    <w:rsid w:val="008A7EAE"/>
    <w:rsid w:val="008B0701"/>
    <w:rsid w:val="008B0897"/>
    <w:rsid w:val="008B33D3"/>
    <w:rsid w:val="008B6952"/>
    <w:rsid w:val="008B7873"/>
    <w:rsid w:val="008C3AAF"/>
    <w:rsid w:val="008C3DBD"/>
    <w:rsid w:val="008D0207"/>
    <w:rsid w:val="008D0271"/>
    <w:rsid w:val="008D1597"/>
    <w:rsid w:val="008D22FB"/>
    <w:rsid w:val="008D27BD"/>
    <w:rsid w:val="008D3F37"/>
    <w:rsid w:val="008D3F3E"/>
    <w:rsid w:val="008D4FE5"/>
    <w:rsid w:val="008D6764"/>
    <w:rsid w:val="008D6ADC"/>
    <w:rsid w:val="008D6B9F"/>
    <w:rsid w:val="008D7E3C"/>
    <w:rsid w:val="008E2916"/>
    <w:rsid w:val="008E2FF1"/>
    <w:rsid w:val="008E41BD"/>
    <w:rsid w:val="008E4295"/>
    <w:rsid w:val="008E42B5"/>
    <w:rsid w:val="008E476A"/>
    <w:rsid w:val="008E726F"/>
    <w:rsid w:val="008E7DDF"/>
    <w:rsid w:val="008F0B48"/>
    <w:rsid w:val="008F25ED"/>
    <w:rsid w:val="008F3C87"/>
    <w:rsid w:val="008F43E4"/>
    <w:rsid w:val="008F519A"/>
    <w:rsid w:val="008F5F0A"/>
    <w:rsid w:val="009011FD"/>
    <w:rsid w:val="00902203"/>
    <w:rsid w:val="00903079"/>
    <w:rsid w:val="009031B1"/>
    <w:rsid w:val="009033EB"/>
    <w:rsid w:val="009034BB"/>
    <w:rsid w:val="00905C3E"/>
    <w:rsid w:val="00905D53"/>
    <w:rsid w:val="009076BB"/>
    <w:rsid w:val="00907903"/>
    <w:rsid w:val="009128A1"/>
    <w:rsid w:val="00912CEA"/>
    <w:rsid w:val="00913694"/>
    <w:rsid w:val="00915E4A"/>
    <w:rsid w:val="009170F9"/>
    <w:rsid w:val="0092076F"/>
    <w:rsid w:val="00922FDA"/>
    <w:rsid w:val="00924A48"/>
    <w:rsid w:val="00925924"/>
    <w:rsid w:val="009274EA"/>
    <w:rsid w:val="00930B8B"/>
    <w:rsid w:val="009342B6"/>
    <w:rsid w:val="00934A80"/>
    <w:rsid w:val="00934D1C"/>
    <w:rsid w:val="00936698"/>
    <w:rsid w:val="009404D6"/>
    <w:rsid w:val="009410E8"/>
    <w:rsid w:val="009412E9"/>
    <w:rsid w:val="0094201E"/>
    <w:rsid w:val="009426E7"/>
    <w:rsid w:val="00943241"/>
    <w:rsid w:val="0094752D"/>
    <w:rsid w:val="00950829"/>
    <w:rsid w:val="00951BD9"/>
    <w:rsid w:val="00951C47"/>
    <w:rsid w:val="00952358"/>
    <w:rsid w:val="00952E25"/>
    <w:rsid w:val="00953BBB"/>
    <w:rsid w:val="0095497C"/>
    <w:rsid w:val="00957450"/>
    <w:rsid w:val="0096085A"/>
    <w:rsid w:val="00962C6A"/>
    <w:rsid w:val="00963E62"/>
    <w:rsid w:val="00965F1F"/>
    <w:rsid w:val="009671C3"/>
    <w:rsid w:val="00972598"/>
    <w:rsid w:val="009730F4"/>
    <w:rsid w:val="009741EA"/>
    <w:rsid w:val="00974241"/>
    <w:rsid w:val="009744D5"/>
    <w:rsid w:val="0097693C"/>
    <w:rsid w:val="0097791E"/>
    <w:rsid w:val="00980328"/>
    <w:rsid w:val="00981313"/>
    <w:rsid w:val="00982162"/>
    <w:rsid w:val="009836EC"/>
    <w:rsid w:val="0098526C"/>
    <w:rsid w:val="00990181"/>
    <w:rsid w:val="00990A74"/>
    <w:rsid w:val="00990FBF"/>
    <w:rsid w:val="0099142D"/>
    <w:rsid w:val="00992A3A"/>
    <w:rsid w:val="00993719"/>
    <w:rsid w:val="009946C6"/>
    <w:rsid w:val="0099481A"/>
    <w:rsid w:val="009A0500"/>
    <w:rsid w:val="009A24A5"/>
    <w:rsid w:val="009A31CC"/>
    <w:rsid w:val="009A4FAC"/>
    <w:rsid w:val="009B0711"/>
    <w:rsid w:val="009B13A4"/>
    <w:rsid w:val="009B1490"/>
    <w:rsid w:val="009B1978"/>
    <w:rsid w:val="009B1D69"/>
    <w:rsid w:val="009B266C"/>
    <w:rsid w:val="009B28F1"/>
    <w:rsid w:val="009B3E14"/>
    <w:rsid w:val="009B3ED4"/>
    <w:rsid w:val="009B3F89"/>
    <w:rsid w:val="009B44BB"/>
    <w:rsid w:val="009B65AB"/>
    <w:rsid w:val="009B65C6"/>
    <w:rsid w:val="009B7347"/>
    <w:rsid w:val="009B753A"/>
    <w:rsid w:val="009B7863"/>
    <w:rsid w:val="009C1226"/>
    <w:rsid w:val="009C18B1"/>
    <w:rsid w:val="009C33D4"/>
    <w:rsid w:val="009C355F"/>
    <w:rsid w:val="009C396B"/>
    <w:rsid w:val="009C3E11"/>
    <w:rsid w:val="009C6680"/>
    <w:rsid w:val="009C76A4"/>
    <w:rsid w:val="009D268E"/>
    <w:rsid w:val="009D3E0A"/>
    <w:rsid w:val="009D52BA"/>
    <w:rsid w:val="009D5496"/>
    <w:rsid w:val="009D75F3"/>
    <w:rsid w:val="009E1291"/>
    <w:rsid w:val="009E1915"/>
    <w:rsid w:val="009E352E"/>
    <w:rsid w:val="009E4C58"/>
    <w:rsid w:val="009E58F2"/>
    <w:rsid w:val="009E5DED"/>
    <w:rsid w:val="009F0CB0"/>
    <w:rsid w:val="009F1254"/>
    <w:rsid w:val="009F15B7"/>
    <w:rsid w:val="009F1796"/>
    <w:rsid w:val="009F1E16"/>
    <w:rsid w:val="009F43FA"/>
    <w:rsid w:val="009F4A07"/>
    <w:rsid w:val="009F5BAF"/>
    <w:rsid w:val="009F715B"/>
    <w:rsid w:val="009F7BC6"/>
    <w:rsid w:val="00A01B67"/>
    <w:rsid w:val="00A0202A"/>
    <w:rsid w:val="00A03F31"/>
    <w:rsid w:val="00A05CF2"/>
    <w:rsid w:val="00A068FF"/>
    <w:rsid w:val="00A1208A"/>
    <w:rsid w:val="00A1391E"/>
    <w:rsid w:val="00A15868"/>
    <w:rsid w:val="00A167DD"/>
    <w:rsid w:val="00A17D3F"/>
    <w:rsid w:val="00A204ED"/>
    <w:rsid w:val="00A22E7B"/>
    <w:rsid w:val="00A23E2B"/>
    <w:rsid w:val="00A2472A"/>
    <w:rsid w:val="00A31958"/>
    <w:rsid w:val="00A31E16"/>
    <w:rsid w:val="00A3231B"/>
    <w:rsid w:val="00A332F5"/>
    <w:rsid w:val="00A34882"/>
    <w:rsid w:val="00A3570C"/>
    <w:rsid w:val="00A409D2"/>
    <w:rsid w:val="00A40F37"/>
    <w:rsid w:val="00A422A8"/>
    <w:rsid w:val="00A42611"/>
    <w:rsid w:val="00A43C94"/>
    <w:rsid w:val="00A4477E"/>
    <w:rsid w:val="00A448A1"/>
    <w:rsid w:val="00A46C99"/>
    <w:rsid w:val="00A50342"/>
    <w:rsid w:val="00A51878"/>
    <w:rsid w:val="00A51E57"/>
    <w:rsid w:val="00A55490"/>
    <w:rsid w:val="00A5570F"/>
    <w:rsid w:val="00A56186"/>
    <w:rsid w:val="00A62B86"/>
    <w:rsid w:val="00A657A1"/>
    <w:rsid w:val="00A65C15"/>
    <w:rsid w:val="00A6663F"/>
    <w:rsid w:val="00A66DF5"/>
    <w:rsid w:val="00A67A7E"/>
    <w:rsid w:val="00A70D55"/>
    <w:rsid w:val="00A73284"/>
    <w:rsid w:val="00A750D5"/>
    <w:rsid w:val="00A75410"/>
    <w:rsid w:val="00A7548B"/>
    <w:rsid w:val="00A800F0"/>
    <w:rsid w:val="00A80A9D"/>
    <w:rsid w:val="00A812C6"/>
    <w:rsid w:val="00A81386"/>
    <w:rsid w:val="00A83D45"/>
    <w:rsid w:val="00A83F0F"/>
    <w:rsid w:val="00A902B0"/>
    <w:rsid w:val="00A94A32"/>
    <w:rsid w:val="00A94DDB"/>
    <w:rsid w:val="00A95161"/>
    <w:rsid w:val="00A95828"/>
    <w:rsid w:val="00A95EDE"/>
    <w:rsid w:val="00AA3032"/>
    <w:rsid w:val="00AA5E25"/>
    <w:rsid w:val="00AA6118"/>
    <w:rsid w:val="00AA71C1"/>
    <w:rsid w:val="00AB0A16"/>
    <w:rsid w:val="00AB0FC2"/>
    <w:rsid w:val="00AB1D64"/>
    <w:rsid w:val="00AB24AE"/>
    <w:rsid w:val="00AB4670"/>
    <w:rsid w:val="00AB517F"/>
    <w:rsid w:val="00AC2498"/>
    <w:rsid w:val="00AC2C1A"/>
    <w:rsid w:val="00AC531A"/>
    <w:rsid w:val="00AC55F1"/>
    <w:rsid w:val="00AC5F58"/>
    <w:rsid w:val="00AC6892"/>
    <w:rsid w:val="00AC6979"/>
    <w:rsid w:val="00AC6DE0"/>
    <w:rsid w:val="00AC7729"/>
    <w:rsid w:val="00AC7BEB"/>
    <w:rsid w:val="00AC7CE6"/>
    <w:rsid w:val="00AD06FC"/>
    <w:rsid w:val="00AD0BB1"/>
    <w:rsid w:val="00AD321E"/>
    <w:rsid w:val="00AD6635"/>
    <w:rsid w:val="00AD742F"/>
    <w:rsid w:val="00AD7AB4"/>
    <w:rsid w:val="00AD7B73"/>
    <w:rsid w:val="00AE2688"/>
    <w:rsid w:val="00AE33FA"/>
    <w:rsid w:val="00AE6D58"/>
    <w:rsid w:val="00AF275A"/>
    <w:rsid w:val="00AF27DC"/>
    <w:rsid w:val="00AF4E44"/>
    <w:rsid w:val="00AF5E84"/>
    <w:rsid w:val="00AF6CB7"/>
    <w:rsid w:val="00AF7BDA"/>
    <w:rsid w:val="00B027EC"/>
    <w:rsid w:val="00B033F9"/>
    <w:rsid w:val="00B03D49"/>
    <w:rsid w:val="00B07015"/>
    <w:rsid w:val="00B11EA8"/>
    <w:rsid w:val="00B11EB1"/>
    <w:rsid w:val="00B12F10"/>
    <w:rsid w:val="00B148DC"/>
    <w:rsid w:val="00B22944"/>
    <w:rsid w:val="00B24884"/>
    <w:rsid w:val="00B25732"/>
    <w:rsid w:val="00B27A4E"/>
    <w:rsid w:val="00B27D1D"/>
    <w:rsid w:val="00B30390"/>
    <w:rsid w:val="00B313AA"/>
    <w:rsid w:val="00B322C6"/>
    <w:rsid w:val="00B35BD5"/>
    <w:rsid w:val="00B40B24"/>
    <w:rsid w:val="00B41C57"/>
    <w:rsid w:val="00B420AB"/>
    <w:rsid w:val="00B4219F"/>
    <w:rsid w:val="00B43268"/>
    <w:rsid w:val="00B45F7A"/>
    <w:rsid w:val="00B47A1C"/>
    <w:rsid w:val="00B50E52"/>
    <w:rsid w:val="00B522EA"/>
    <w:rsid w:val="00B557B1"/>
    <w:rsid w:val="00B55B30"/>
    <w:rsid w:val="00B57EB1"/>
    <w:rsid w:val="00B6664F"/>
    <w:rsid w:val="00B715D6"/>
    <w:rsid w:val="00B71C0D"/>
    <w:rsid w:val="00B72F34"/>
    <w:rsid w:val="00B73139"/>
    <w:rsid w:val="00B743BC"/>
    <w:rsid w:val="00B750C5"/>
    <w:rsid w:val="00B7763E"/>
    <w:rsid w:val="00B7792C"/>
    <w:rsid w:val="00B807DA"/>
    <w:rsid w:val="00B812A4"/>
    <w:rsid w:val="00B81955"/>
    <w:rsid w:val="00B8294E"/>
    <w:rsid w:val="00B8359D"/>
    <w:rsid w:val="00B84BEA"/>
    <w:rsid w:val="00B863CA"/>
    <w:rsid w:val="00B86B16"/>
    <w:rsid w:val="00B92181"/>
    <w:rsid w:val="00B9234D"/>
    <w:rsid w:val="00B9317F"/>
    <w:rsid w:val="00B9352C"/>
    <w:rsid w:val="00B93BC0"/>
    <w:rsid w:val="00B943F6"/>
    <w:rsid w:val="00B96A12"/>
    <w:rsid w:val="00B976D5"/>
    <w:rsid w:val="00BA4CBC"/>
    <w:rsid w:val="00BA61CB"/>
    <w:rsid w:val="00BB07C0"/>
    <w:rsid w:val="00BB214E"/>
    <w:rsid w:val="00BB38DA"/>
    <w:rsid w:val="00BB4180"/>
    <w:rsid w:val="00BB423A"/>
    <w:rsid w:val="00BB527E"/>
    <w:rsid w:val="00BB6626"/>
    <w:rsid w:val="00BB6920"/>
    <w:rsid w:val="00BB6F09"/>
    <w:rsid w:val="00BC07E4"/>
    <w:rsid w:val="00BC0B78"/>
    <w:rsid w:val="00BC4229"/>
    <w:rsid w:val="00BC675E"/>
    <w:rsid w:val="00BC7C4E"/>
    <w:rsid w:val="00BD1033"/>
    <w:rsid w:val="00BD1CEA"/>
    <w:rsid w:val="00BD5551"/>
    <w:rsid w:val="00BD5D6B"/>
    <w:rsid w:val="00BE0007"/>
    <w:rsid w:val="00BE1854"/>
    <w:rsid w:val="00BE1D41"/>
    <w:rsid w:val="00BE3077"/>
    <w:rsid w:val="00BF083B"/>
    <w:rsid w:val="00BF19CB"/>
    <w:rsid w:val="00BF2C5C"/>
    <w:rsid w:val="00BF409F"/>
    <w:rsid w:val="00C0085E"/>
    <w:rsid w:val="00C01220"/>
    <w:rsid w:val="00C0186A"/>
    <w:rsid w:val="00C01E1B"/>
    <w:rsid w:val="00C026E3"/>
    <w:rsid w:val="00C0317F"/>
    <w:rsid w:val="00C042BF"/>
    <w:rsid w:val="00C04D1B"/>
    <w:rsid w:val="00C05241"/>
    <w:rsid w:val="00C054F4"/>
    <w:rsid w:val="00C05A05"/>
    <w:rsid w:val="00C06839"/>
    <w:rsid w:val="00C10FE2"/>
    <w:rsid w:val="00C12BE4"/>
    <w:rsid w:val="00C147B3"/>
    <w:rsid w:val="00C150BB"/>
    <w:rsid w:val="00C15D0A"/>
    <w:rsid w:val="00C17325"/>
    <w:rsid w:val="00C20146"/>
    <w:rsid w:val="00C23489"/>
    <w:rsid w:val="00C23C4F"/>
    <w:rsid w:val="00C24DB6"/>
    <w:rsid w:val="00C250D8"/>
    <w:rsid w:val="00C254E5"/>
    <w:rsid w:val="00C25FF3"/>
    <w:rsid w:val="00C267FD"/>
    <w:rsid w:val="00C26FB2"/>
    <w:rsid w:val="00C30E7A"/>
    <w:rsid w:val="00C32C77"/>
    <w:rsid w:val="00C335E9"/>
    <w:rsid w:val="00C35733"/>
    <w:rsid w:val="00C379C9"/>
    <w:rsid w:val="00C40150"/>
    <w:rsid w:val="00C42071"/>
    <w:rsid w:val="00C435C4"/>
    <w:rsid w:val="00C439C6"/>
    <w:rsid w:val="00C450F2"/>
    <w:rsid w:val="00C45523"/>
    <w:rsid w:val="00C469CF"/>
    <w:rsid w:val="00C46C58"/>
    <w:rsid w:val="00C47889"/>
    <w:rsid w:val="00C5109A"/>
    <w:rsid w:val="00C523AF"/>
    <w:rsid w:val="00C52DF1"/>
    <w:rsid w:val="00C55B9F"/>
    <w:rsid w:val="00C55CA8"/>
    <w:rsid w:val="00C55F9D"/>
    <w:rsid w:val="00C62830"/>
    <w:rsid w:val="00C6634C"/>
    <w:rsid w:val="00C67FE9"/>
    <w:rsid w:val="00C76B86"/>
    <w:rsid w:val="00C80784"/>
    <w:rsid w:val="00C815FE"/>
    <w:rsid w:val="00C81D36"/>
    <w:rsid w:val="00C81DAD"/>
    <w:rsid w:val="00C87A17"/>
    <w:rsid w:val="00C90ADA"/>
    <w:rsid w:val="00C9126E"/>
    <w:rsid w:val="00C913BF"/>
    <w:rsid w:val="00C91BD8"/>
    <w:rsid w:val="00C92281"/>
    <w:rsid w:val="00C937B9"/>
    <w:rsid w:val="00C9619C"/>
    <w:rsid w:val="00C96B4E"/>
    <w:rsid w:val="00CA0BA3"/>
    <w:rsid w:val="00CA1B03"/>
    <w:rsid w:val="00CA3746"/>
    <w:rsid w:val="00CA6262"/>
    <w:rsid w:val="00CA678C"/>
    <w:rsid w:val="00CA68A9"/>
    <w:rsid w:val="00CB3EE8"/>
    <w:rsid w:val="00CB60C5"/>
    <w:rsid w:val="00CB674A"/>
    <w:rsid w:val="00CB7E71"/>
    <w:rsid w:val="00CB7F72"/>
    <w:rsid w:val="00CC033B"/>
    <w:rsid w:val="00CC34EB"/>
    <w:rsid w:val="00CC3B40"/>
    <w:rsid w:val="00CC604A"/>
    <w:rsid w:val="00CC618F"/>
    <w:rsid w:val="00CC773B"/>
    <w:rsid w:val="00CC7AAE"/>
    <w:rsid w:val="00CC7F4C"/>
    <w:rsid w:val="00CD0203"/>
    <w:rsid w:val="00CD0EEB"/>
    <w:rsid w:val="00CD176C"/>
    <w:rsid w:val="00CD18F9"/>
    <w:rsid w:val="00CD3A16"/>
    <w:rsid w:val="00CD5FDC"/>
    <w:rsid w:val="00CD7E9A"/>
    <w:rsid w:val="00CE0A39"/>
    <w:rsid w:val="00CE0AD6"/>
    <w:rsid w:val="00CE2F50"/>
    <w:rsid w:val="00CE34C6"/>
    <w:rsid w:val="00CE504A"/>
    <w:rsid w:val="00CE5379"/>
    <w:rsid w:val="00CE56F4"/>
    <w:rsid w:val="00CE5991"/>
    <w:rsid w:val="00CE79DD"/>
    <w:rsid w:val="00CE7C81"/>
    <w:rsid w:val="00CF114C"/>
    <w:rsid w:val="00CF17C0"/>
    <w:rsid w:val="00CF4929"/>
    <w:rsid w:val="00CF54FD"/>
    <w:rsid w:val="00CF602A"/>
    <w:rsid w:val="00CF7CD1"/>
    <w:rsid w:val="00D01D56"/>
    <w:rsid w:val="00D039DC"/>
    <w:rsid w:val="00D044A4"/>
    <w:rsid w:val="00D112F1"/>
    <w:rsid w:val="00D1579A"/>
    <w:rsid w:val="00D2015D"/>
    <w:rsid w:val="00D203B5"/>
    <w:rsid w:val="00D23242"/>
    <w:rsid w:val="00D24E0D"/>
    <w:rsid w:val="00D25199"/>
    <w:rsid w:val="00D2777B"/>
    <w:rsid w:val="00D27A83"/>
    <w:rsid w:val="00D33343"/>
    <w:rsid w:val="00D33697"/>
    <w:rsid w:val="00D342C6"/>
    <w:rsid w:val="00D3707F"/>
    <w:rsid w:val="00D37842"/>
    <w:rsid w:val="00D41500"/>
    <w:rsid w:val="00D43E7C"/>
    <w:rsid w:val="00D44AA3"/>
    <w:rsid w:val="00D507E4"/>
    <w:rsid w:val="00D50A72"/>
    <w:rsid w:val="00D51D43"/>
    <w:rsid w:val="00D523A6"/>
    <w:rsid w:val="00D5243A"/>
    <w:rsid w:val="00D53041"/>
    <w:rsid w:val="00D54C41"/>
    <w:rsid w:val="00D559FB"/>
    <w:rsid w:val="00D604E4"/>
    <w:rsid w:val="00D60AAD"/>
    <w:rsid w:val="00D63797"/>
    <w:rsid w:val="00D63D10"/>
    <w:rsid w:val="00D64004"/>
    <w:rsid w:val="00D65826"/>
    <w:rsid w:val="00D65F32"/>
    <w:rsid w:val="00D70CFD"/>
    <w:rsid w:val="00D7150A"/>
    <w:rsid w:val="00D71BE7"/>
    <w:rsid w:val="00D72077"/>
    <w:rsid w:val="00D735FC"/>
    <w:rsid w:val="00D744C8"/>
    <w:rsid w:val="00D75C08"/>
    <w:rsid w:val="00D763B5"/>
    <w:rsid w:val="00D76730"/>
    <w:rsid w:val="00D7720C"/>
    <w:rsid w:val="00D77903"/>
    <w:rsid w:val="00D806D5"/>
    <w:rsid w:val="00D81538"/>
    <w:rsid w:val="00D81E14"/>
    <w:rsid w:val="00D82612"/>
    <w:rsid w:val="00D82DBE"/>
    <w:rsid w:val="00D83237"/>
    <w:rsid w:val="00D8651D"/>
    <w:rsid w:val="00D86BCD"/>
    <w:rsid w:val="00D87877"/>
    <w:rsid w:val="00D95840"/>
    <w:rsid w:val="00DA374C"/>
    <w:rsid w:val="00DA4178"/>
    <w:rsid w:val="00DA5EBD"/>
    <w:rsid w:val="00DA5FA2"/>
    <w:rsid w:val="00DA6220"/>
    <w:rsid w:val="00DA7C6E"/>
    <w:rsid w:val="00DA7E23"/>
    <w:rsid w:val="00DB1396"/>
    <w:rsid w:val="00DB20A9"/>
    <w:rsid w:val="00DB24DC"/>
    <w:rsid w:val="00DB27A1"/>
    <w:rsid w:val="00DB2D9F"/>
    <w:rsid w:val="00DB47F1"/>
    <w:rsid w:val="00DB4E51"/>
    <w:rsid w:val="00DB5190"/>
    <w:rsid w:val="00DB5277"/>
    <w:rsid w:val="00DB5DDD"/>
    <w:rsid w:val="00DB6C2A"/>
    <w:rsid w:val="00DC0623"/>
    <w:rsid w:val="00DC0DFC"/>
    <w:rsid w:val="00DC297C"/>
    <w:rsid w:val="00DC33A0"/>
    <w:rsid w:val="00DC3853"/>
    <w:rsid w:val="00DC4BD4"/>
    <w:rsid w:val="00DC5F06"/>
    <w:rsid w:val="00DC7A8F"/>
    <w:rsid w:val="00DD2987"/>
    <w:rsid w:val="00DD33C9"/>
    <w:rsid w:val="00DD3A09"/>
    <w:rsid w:val="00DD439F"/>
    <w:rsid w:val="00DD46BB"/>
    <w:rsid w:val="00DD5234"/>
    <w:rsid w:val="00DD65E2"/>
    <w:rsid w:val="00DE0555"/>
    <w:rsid w:val="00DE1E1F"/>
    <w:rsid w:val="00DE24B3"/>
    <w:rsid w:val="00DE3F9B"/>
    <w:rsid w:val="00DE45E8"/>
    <w:rsid w:val="00DE49DC"/>
    <w:rsid w:val="00DE55E1"/>
    <w:rsid w:val="00DE5FB0"/>
    <w:rsid w:val="00DE7D91"/>
    <w:rsid w:val="00DE7E90"/>
    <w:rsid w:val="00DF52BE"/>
    <w:rsid w:val="00DF652E"/>
    <w:rsid w:val="00DF7B17"/>
    <w:rsid w:val="00E00D59"/>
    <w:rsid w:val="00E0232C"/>
    <w:rsid w:val="00E02B11"/>
    <w:rsid w:val="00E03766"/>
    <w:rsid w:val="00E03EDD"/>
    <w:rsid w:val="00E05830"/>
    <w:rsid w:val="00E1055A"/>
    <w:rsid w:val="00E147F4"/>
    <w:rsid w:val="00E15436"/>
    <w:rsid w:val="00E17212"/>
    <w:rsid w:val="00E173B6"/>
    <w:rsid w:val="00E22458"/>
    <w:rsid w:val="00E2245E"/>
    <w:rsid w:val="00E26070"/>
    <w:rsid w:val="00E26812"/>
    <w:rsid w:val="00E26EA3"/>
    <w:rsid w:val="00E27D50"/>
    <w:rsid w:val="00E300F9"/>
    <w:rsid w:val="00E315F7"/>
    <w:rsid w:val="00E31830"/>
    <w:rsid w:val="00E3337F"/>
    <w:rsid w:val="00E4020A"/>
    <w:rsid w:val="00E40CC0"/>
    <w:rsid w:val="00E417D5"/>
    <w:rsid w:val="00E4181A"/>
    <w:rsid w:val="00E425FE"/>
    <w:rsid w:val="00E432DD"/>
    <w:rsid w:val="00E4494B"/>
    <w:rsid w:val="00E46BA4"/>
    <w:rsid w:val="00E55F62"/>
    <w:rsid w:val="00E57DA5"/>
    <w:rsid w:val="00E57F09"/>
    <w:rsid w:val="00E6084B"/>
    <w:rsid w:val="00E63D97"/>
    <w:rsid w:val="00E64580"/>
    <w:rsid w:val="00E645A2"/>
    <w:rsid w:val="00E65A95"/>
    <w:rsid w:val="00E67096"/>
    <w:rsid w:val="00E71EBE"/>
    <w:rsid w:val="00E7206E"/>
    <w:rsid w:val="00E7478D"/>
    <w:rsid w:val="00E74CB8"/>
    <w:rsid w:val="00E74E38"/>
    <w:rsid w:val="00E779B4"/>
    <w:rsid w:val="00E77A0C"/>
    <w:rsid w:val="00E826D4"/>
    <w:rsid w:val="00E82892"/>
    <w:rsid w:val="00E829A3"/>
    <w:rsid w:val="00E84815"/>
    <w:rsid w:val="00E876B7"/>
    <w:rsid w:val="00E87C4A"/>
    <w:rsid w:val="00E9301A"/>
    <w:rsid w:val="00E933FA"/>
    <w:rsid w:val="00E934DF"/>
    <w:rsid w:val="00E935FA"/>
    <w:rsid w:val="00E93782"/>
    <w:rsid w:val="00E95CAF"/>
    <w:rsid w:val="00EA1DBE"/>
    <w:rsid w:val="00EA2BBD"/>
    <w:rsid w:val="00EA2BEA"/>
    <w:rsid w:val="00EA7944"/>
    <w:rsid w:val="00EA7B22"/>
    <w:rsid w:val="00EB064E"/>
    <w:rsid w:val="00EB0A5D"/>
    <w:rsid w:val="00EB11B3"/>
    <w:rsid w:val="00EB1743"/>
    <w:rsid w:val="00EB1DF8"/>
    <w:rsid w:val="00EC023C"/>
    <w:rsid w:val="00EC0B90"/>
    <w:rsid w:val="00EC1894"/>
    <w:rsid w:val="00EC5ACA"/>
    <w:rsid w:val="00ED1708"/>
    <w:rsid w:val="00ED1E2A"/>
    <w:rsid w:val="00ED2620"/>
    <w:rsid w:val="00ED2C3E"/>
    <w:rsid w:val="00ED2DB0"/>
    <w:rsid w:val="00ED4297"/>
    <w:rsid w:val="00ED5021"/>
    <w:rsid w:val="00ED6D2A"/>
    <w:rsid w:val="00ED72B0"/>
    <w:rsid w:val="00EE1DD1"/>
    <w:rsid w:val="00EE2893"/>
    <w:rsid w:val="00EE69B8"/>
    <w:rsid w:val="00EF021B"/>
    <w:rsid w:val="00EF0C05"/>
    <w:rsid w:val="00EF56B1"/>
    <w:rsid w:val="00EF6DE0"/>
    <w:rsid w:val="00EF7584"/>
    <w:rsid w:val="00EF7D90"/>
    <w:rsid w:val="00F004BD"/>
    <w:rsid w:val="00F00704"/>
    <w:rsid w:val="00F020DE"/>
    <w:rsid w:val="00F02BE3"/>
    <w:rsid w:val="00F05E19"/>
    <w:rsid w:val="00F05EB2"/>
    <w:rsid w:val="00F109B1"/>
    <w:rsid w:val="00F1109A"/>
    <w:rsid w:val="00F124ED"/>
    <w:rsid w:val="00F13A81"/>
    <w:rsid w:val="00F14AB5"/>
    <w:rsid w:val="00F14DD7"/>
    <w:rsid w:val="00F15525"/>
    <w:rsid w:val="00F177FB"/>
    <w:rsid w:val="00F17CD7"/>
    <w:rsid w:val="00F21409"/>
    <w:rsid w:val="00F21CE2"/>
    <w:rsid w:val="00F23FFF"/>
    <w:rsid w:val="00F247F3"/>
    <w:rsid w:val="00F255A5"/>
    <w:rsid w:val="00F25B37"/>
    <w:rsid w:val="00F261F6"/>
    <w:rsid w:val="00F32AF1"/>
    <w:rsid w:val="00F34C63"/>
    <w:rsid w:val="00F35048"/>
    <w:rsid w:val="00F35547"/>
    <w:rsid w:val="00F36023"/>
    <w:rsid w:val="00F3638F"/>
    <w:rsid w:val="00F3718D"/>
    <w:rsid w:val="00F41A49"/>
    <w:rsid w:val="00F420BE"/>
    <w:rsid w:val="00F43CA6"/>
    <w:rsid w:val="00F44814"/>
    <w:rsid w:val="00F44C26"/>
    <w:rsid w:val="00F45998"/>
    <w:rsid w:val="00F45AD2"/>
    <w:rsid w:val="00F461B8"/>
    <w:rsid w:val="00F46E16"/>
    <w:rsid w:val="00F47A17"/>
    <w:rsid w:val="00F47EBF"/>
    <w:rsid w:val="00F508E5"/>
    <w:rsid w:val="00F510BB"/>
    <w:rsid w:val="00F53731"/>
    <w:rsid w:val="00F55CBF"/>
    <w:rsid w:val="00F562C3"/>
    <w:rsid w:val="00F57097"/>
    <w:rsid w:val="00F5728A"/>
    <w:rsid w:val="00F624D5"/>
    <w:rsid w:val="00F6273E"/>
    <w:rsid w:val="00F62979"/>
    <w:rsid w:val="00F637B2"/>
    <w:rsid w:val="00F64183"/>
    <w:rsid w:val="00F65981"/>
    <w:rsid w:val="00F65DBC"/>
    <w:rsid w:val="00F67DBA"/>
    <w:rsid w:val="00F75D5A"/>
    <w:rsid w:val="00F76E0D"/>
    <w:rsid w:val="00F77D3B"/>
    <w:rsid w:val="00F80EB3"/>
    <w:rsid w:val="00F822CB"/>
    <w:rsid w:val="00F826CA"/>
    <w:rsid w:val="00F82A83"/>
    <w:rsid w:val="00F8302B"/>
    <w:rsid w:val="00F83668"/>
    <w:rsid w:val="00F85A7C"/>
    <w:rsid w:val="00F86781"/>
    <w:rsid w:val="00F86A46"/>
    <w:rsid w:val="00F90C26"/>
    <w:rsid w:val="00F911B9"/>
    <w:rsid w:val="00F92545"/>
    <w:rsid w:val="00F937F7"/>
    <w:rsid w:val="00F952CA"/>
    <w:rsid w:val="00F95EDA"/>
    <w:rsid w:val="00F97551"/>
    <w:rsid w:val="00F978CA"/>
    <w:rsid w:val="00FA733A"/>
    <w:rsid w:val="00FB0B6A"/>
    <w:rsid w:val="00FB1733"/>
    <w:rsid w:val="00FB43CF"/>
    <w:rsid w:val="00FB487A"/>
    <w:rsid w:val="00FB7C8B"/>
    <w:rsid w:val="00FC3502"/>
    <w:rsid w:val="00FC3806"/>
    <w:rsid w:val="00FC41EA"/>
    <w:rsid w:val="00FC4B04"/>
    <w:rsid w:val="00FC7E35"/>
    <w:rsid w:val="00FD0D6F"/>
    <w:rsid w:val="00FD2147"/>
    <w:rsid w:val="00FD46F1"/>
    <w:rsid w:val="00FE289C"/>
    <w:rsid w:val="00FE3481"/>
    <w:rsid w:val="00FE3E1C"/>
    <w:rsid w:val="00FE767E"/>
    <w:rsid w:val="00FF1D2D"/>
    <w:rsid w:val="00FF5508"/>
    <w:rsid w:val="00FF5AD8"/>
    <w:rsid w:val="01113D6B"/>
    <w:rsid w:val="012952DE"/>
    <w:rsid w:val="014F4893"/>
    <w:rsid w:val="016239EA"/>
    <w:rsid w:val="01A2587D"/>
    <w:rsid w:val="01D36C36"/>
    <w:rsid w:val="02195A02"/>
    <w:rsid w:val="023B754F"/>
    <w:rsid w:val="02456CF9"/>
    <w:rsid w:val="02704AC1"/>
    <w:rsid w:val="02775E4F"/>
    <w:rsid w:val="027D0308"/>
    <w:rsid w:val="029502CD"/>
    <w:rsid w:val="02954528"/>
    <w:rsid w:val="029C3B08"/>
    <w:rsid w:val="02BB2789"/>
    <w:rsid w:val="02C9106A"/>
    <w:rsid w:val="02D54924"/>
    <w:rsid w:val="02D811F9"/>
    <w:rsid w:val="02E07B62"/>
    <w:rsid w:val="02F254D6"/>
    <w:rsid w:val="03000670"/>
    <w:rsid w:val="03547F3F"/>
    <w:rsid w:val="03613421"/>
    <w:rsid w:val="036D1000"/>
    <w:rsid w:val="03A1578F"/>
    <w:rsid w:val="03C54999"/>
    <w:rsid w:val="03D56A09"/>
    <w:rsid w:val="03EC63C9"/>
    <w:rsid w:val="03F01345"/>
    <w:rsid w:val="042B5143"/>
    <w:rsid w:val="042E253E"/>
    <w:rsid w:val="04390CF0"/>
    <w:rsid w:val="044B1342"/>
    <w:rsid w:val="046F61E6"/>
    <w:rsid w:val="04B360C7"/>
    <w:rsid w:val="04B620A0"/>
    <w:rsid w:val="04B8256C"/>
    <w:rsid w:val="04E3596B"/>
    <w:rsid w:val="04E63F81"/>
    <w:rsid w:val="051412A6"/>
    <w:rsid w:val="052920C9"/>
    <w:rsid w:val="052E620B"/>
    <w:rsid w:val="055F2BCB"/>
    <w:rsid w:val="058A7C48"/>
    <w:rsid w:val="05C178F9"/>
    <w:rsid w:val="05EF03F3"/>
    <w:rsid w:val="05FB6D97"/>
    <w:rsid w:val="061447B4"/>
    <w:rsid w:val="06216F8F"/>
    <w:rsid w:val="062C51A3"/>
    <w:rsid w:val="06313883"/>
    <w:rsid w:val="06381630"/>
    <w:rsid w:val="063D4CBA"/>
    <w:rsid w:val="067032E2"/>
    <w:rsid w:val="06773B1C"/>
    <w:rsid w:val="070E48A8"/>
    <w:rsid w:val="073E5458"/>
    <w:rsid w:val="07463E83"/>
    <w:rsid w:val="074F739B"/>
    <w:rsid w:val="075C5614"/>
    <w:rsid w:val="076D25DE"/>
    <w:rsid w:val="077961C6"/>
    <w:rsid w:val="07821677"/>
    <w:rsid w:val="07CD02C0"/>
    <w:rsid w:val="08063FCE"/>
    <w:rsid w:val="084261B8"/>
    <w:rsid w:val="086D4F32"/>
    <w:rsid w:val="08E21B49"/>
    <w:rsid w:val="08E70503"/>
    <w:rsid w:val="09153CCC"/>
    <w:rsid w:val="09301B6F"/>
    <w:rsid w:val="095542C9"/>
    <w:rsid w:val="09563AC6"/>
    <w:rsid w:val="0957472D"/>
    <w:rsid w:val="095E4176"/>
    <w:rsid w:val="09A822D9"/>
    <w:rsid w:val="09B61198"/>
    <w:rsid w:val="09BC683E"/>
    <w:rsid w:val="09CD1640"/>
    <w:rsid w:val="09E1484D"/>
    <w:rsid w:val="09FC065C"/>
    <w:rsid w:val="0A1C72DC"/>
    <w:rsid w:val="0A4247AF"/>
    <w:rsid w:val="0A4505E1"/>
    <w:rsid w:val="0A5446BB"/>
    <w:rsid w:val="0A6919E9"/>
    <w:rsid w:val="0AB51424"/>
    <w:rsid w:val="0B352404"/>
    <w:rsid w:val="0B4B372F"/>
    <w:rsid w:val="0B5A630E"/>
    <w:rsid w:val="0B792C38"/>
    <w:rsid w:val="0B9F3D21"/>
    <w:rsid w:val="0BDF5246"/>
    <w:rsid w:val="0BEF6A57"/>
    <w:rsid w:val="0C1B20EA"/>
    <w:rsid w:val="0C4631D8"/>
    <w:rsid w:val="0C5C7535"/>
    <w:rsid w:val="0C6D3E1F"/>
    <w:rsid w:val="0C7E5D55"/>
    <w:rsid w:val="0CC06645"/>
    <w:rsid w:val="0CCD0CCD"/>
    <w:rsid w:val="0CFB142B"/>
    <w:rsid w:val="0CFC10C4"/>
    <w:rsid w:val="0D0D7B44"/>
    <w:rsid w:val="0D166265"/>
    <w:rsid w:val="0D2A572B"/>
    <w:rsid w:val="0D3128E0"/>
    <w:rsid w:val="0D6C40D7"/>
    <w:rsid w:val="0DC30D83"/>
    <w:rsid w:val="0DC363ED"/>
    <w:rsid w:val="0DCF7C13"/>
    <w:rsid w:val="0E253FB2"/>
    <w:rsid w:val="0EA855E3"/>
    <w:rsid w:val="0EAC50D3"/>
    <w:rsid w:val="0EB00A71"/>
    <w:rsid w:val="0EC4028E"/>
    <w:rsid w:val="0F2342AB"/>
    <w:rsid w:val="0F324A79"/>
    <w:rsid w:val="0F3670E8"/>
    <w:rsid w:val="0F791001"/>
    <w:rsid w:val="0F84395A"/>
    <w:rsid w:val="0FEB7320"/>
    <w:rsid w:val="0FF70D71"/>
    <w:rsid w:val="10382238"/>
    <w:rsid w:val="107B4D5D"/>
    <w:rsid w:val="1092654A"/>
    <w:rsid w:val="109542C4"/>
    <w:rsid w:val="10B71B0D"/>
    <w:rsid w:val="10E320C3"/>
    <w:rsid w:val="10F90377"/>
    <w:rsid w:val="113E783E"/>
    <w:rsid w:val="1144451E"/>
    <w:rsid w:val="114C24C8"/>
    <w:rsid w:val="114F1320"/>
    <w:rsid w:val="11621F51"/>
    <w:rsid w:val="118578AA"/>
    <w:rsid w:val="11B91666"/>
    <w:rsid w:val="11DB6D5C"/>
    <w:rsid w:val="120401DC"/>
    <w:rsid w:val="121F796A"/>
    <w:rsid w:val="122D2087"/>
    <w:rsid w:val="12380A2C"/>
    <w:rsid w:val="123A29F6"/>
    <w:rsid w:val="123E2BC2"/>
    <w:rsid w:val="12525F91"/>
    <w:rsid w:val="126312B0"/>
    <w:rsid w:val="129148C0"/>
    <w:rsid w:val="129C021B"/>
    <w:rsid w:val="129C720C"/>
    <w:rsid w:val="12A45129"/>
    <w:rsid w:val="13001549"/>
    <w:rsid w:val="132A707B"/>
    <w:rsid w:val="137912FC"/>
    <w:rsid w:val="13AA7707"/>
    <w:rsid w:val="13BF31B2"/>
    <w:rsid w:val="13E36948"/>
    <w:rsid w:val="13E56991"/>
    <w:rsid w:val="14057888"/>
    <w:rsid w:val="140E0A4B"/>
    <w:rsid w:val="142E20E6"/>
    <w:rsid w:val="148B069D"/>
    <w:rsid w:val="14914BBC"/>
    <w:rsid w:val="14C80CF5"/>
    <w:rsid w:val="14E24CB7"/>
    <w:rsid w:val="14F450DE"/>
    <w:rsid w:val="151C6D5D"/>
    <w:rsid w:val="152D68EA"/>
    <w:rsid w:val="15396A36"/>
    <w:rsid w:val="15712867"/>
    <w:rsid w:val="15763D45"/>
    <w:rsid w:val="15766107"/>
    <w:rsid w:val="157C736C"/>
    <w:rsid w:val="157D60BE"/>
    <w:rsid w:val="15A20FDE"/>
    <w:rsid w:val="15AE0A52"/>
    <w:rsid w:val="15B30AF5"/>
    <w:rsid w:val="15B605E5"/>
    <w:rsid w:val="15D722C5"/>
    <w:rsid w:val="15E83E17"/>
    <w:rsid w:val="15EE1D1E"/>
    <w:rsid w:val="16223C35"/>
    <w:rsid w:val="16351703"/>
    <w:rsid w:val="167245E0"/>
    <w:rsid w:val="16BA319D"/>
    <w:rsid w:val="16F07181"/>
    <w:rsid w:val="17461F37"/>
    <w:rsid w:val="17514A69"/>
    <w:rsid w:val="17681DB3"/>
    <w:rsid w:val="17973830"/>
    <w:rsid w:val="17AE3BE1"/>
    <w:rsid w:val="17C42110"/>
    <w:rsid w:val="17F705E6"/>
    <w:rsid w:val="17F83137"/>
    <w:rsid w:val="185540E5"/>
    <w:rsid w:val="18620886"/>
    <w:rsid w:val="18B43C4D"/>
    <w:rsid w:val="18D57CCC"/>
    <w:rsid w:val="18D95199"/>
    <w:rsid w:val="18F63219"/>
    <w:rsid w:val="18F7519C"/>
    <w:rsid w:val="19241D0A"/>
    <w:rsid w:val="19397563"/>
    <w:rsid w:val="194B7296"/>
    <w:rsid w:val="196842EC"/>
    <w:rsid w:val="19705D6F"/>
    <w:rsid w:val="19B1359D"/>
    <w:rsid w:val="19BB08C0"/>
    <w:rsid w:val="19C66E1F"/>
    <w:rsid w:val="19D228DD"/>
    <w:rsid w:val="19D34972"/>
    <w:rsid w:val="19F02D3B"/>
    <w:rsid w:val="19F53DD2"/>
    <w:rsid w:val="1A02204B"/>
    <w:rsid w:val="1A085187"/>
    <w:rsid w:val="1A0D535E"/>
    <w:rsid w:val="1A0E7903"/>
    <w:rsid w:val="1A16257B"/>
    <w:rsid w:val="1A257CDF"/>
    <w:rsid w:val="1A2D36EA"/>
    <w:rsid w:val="1A3613D0"/>
    <w:rsid w:val="1A911621"/>
    <w:rsid w:val="1AA73EAE"/>
    <w:rsid w:val="1AB16035"/>
    <w:rsid w:val="1ACA2EC3"/>
    <w:rsid w:val="1AEE29A9"/>
    <w:rsid w:val="1AF000F5"/>
    <w:rsid w:val="1B0954B3"/>
    <w:rsid w:val="1B281F85"/>
    <w:rsid w:val="1B485552"/>
    <w:rsid w:val="1B4F10FE"/>
    <w:rsid w:val="1B526414"/>
    <w:rsid w:val="1B8C0785"/>
    <w:rsid w:val="1B9C6CD7"/>
    <w:rsid w:val="1BBC07F8"/>
    <w:rsid w:val="1BF105C9"/>
    <w:rsid w:val="1C164132"/>
    <w:rsid w:val="1C202066"/>
    <w:rsid w:val="1C265EAE"/>
    <w:rsid w:val="1C2F10F1"/>
    <w:rsid w:val="1C4701E9"/>
    <w:rsid w:val="1C694603"/>
    <w:rsid w:val="1C83018E"/>
    <w:rsid w:val="1CB05D8E"/>
    <w:rsid w:val="1CC87AA7"/>
    <w:rsid w:val="1D0E0D07"/>
    <w:rsid w:val="1D19089E"/>
    <w:rsid w:val="1D350989"/>
    <w:rsid w:val="1D3F7112"/>
    <w:rsid w:val="1D404EC8"/>
    <w:rsid w:val="1D57445C"/>
    <w:rsid w:val="1D840FC9"/>
    <w:rsid w:val="1D943597"/>
    <w:rsid w:val="1DAA6C81"/>
    <w:rsid w:val="1DD90B8C"/>
    <w:rsid w:val="1E0C041D"/>
    <w:rsid w:val="1E170217"/>
    <w:rsid w:val="1E2F68B1"/>
    <w:rsid w:val="1E5F5CBE"/>
    <w:rsid w:val="1E6A3634"/>
    <w:rsid w:val="1E780B2E"/>
    <w:rsid w:val="1E7A4066"/>
    <w:rsid w:val="1E89232D"/>
    <w:rsid w:val="1EAC6A29"/>
    <w:rsid w:val="1EAE454F"/>
    <w:rsid w:val="1EBD29E4"/>
    <w:rsid w:val="1EBF5A03"/>
    <w:rsid w:val="1ECE699F"/>
    <w:rsid w:val="1EF83BE4"/>
    <w:rsid w:val="1F0467A7"/>
    <w:rsid w:val="1F0B1CD2"/>
    <w:rsid w:val="1F2B2044"/>
    <w:rsid w:val="1F340AE0"/>
    <w:rsid w:val="1F6269F2"/>
    <w:rsid w:val="1F720BCE"/>
    <w:rsid w:val="1F757E59"/>
    <w:rsid w:val="1F773747"/>
    <w:rsid w:val="1F805881"/>
    <w:rsid w:val="1F8F4381"/>
    <w:rsid w:val="1F942D2C"/>
    <w:rsid w:val="1FDC5921"/>
    <w:rsid w:val="1FF468C9"/>
    <w:rsid w:val="20340A84"/>
    <w:rsid w:val="204C04C4"/>
    <w:rsid w:val="2065572A"/>
    <w:rsid w:val="207A0A73"/>
    <w:rsid w:val="207D68CF"/>
    <w:rsid w:val="2084144E"/>
    <w:rsid w:val="208B4EA6"/>
    <w:rsid w:val="20900017"/>
    <w:rsid w:val="20A0611A"/>
    <w:rsid w:val="20A1740C"/>
    <w:rsid w:val="20C027D6"/>
    <w:rsid w:val="20D21A18"/>
    <w:rsid w:val="21101716"/>
    <w:rsid w:val="211A5ECC"/>
    <w:rsid w:val="213C4BBC"/>
    <w:rsid w:val="21447C5E"/>
    <w:rsid w:val="217355DC"/>
    <w:rsid w:val="219474FB"/>
    <w:rsid w:val="2196651D"/>
    <w:rsid w:val="21BE7A17"/>
    <w:rsid w:val="21C5052E"/>
    <w:rsid w:val="21DE538D"/>
    <w:rsid w:val="21ED538F"/>
    <w:rsid w:val="21FC5E01"/>
    <w:rsid w:val="22016618"/>
    <w:rsid w:val="220F0E47"/>
    <w:rsid w:val="225942E5"/>
    <w:rsid w:val="226A69DF"/>
    <w:rsid w:val="22895117"/>
    <w:rsid w:val="22C205C9"/>
    <w:rsid w:val="22E22635"/>
    <w:rsid w:val="22E77160"/>
    <w:rsid w:val="2305495A"/>
    <w:rsid w:val="235D22DF"/>
    <w:rsid w:val="236478D2"/>
    <w:rsid w:val="236D7DD2"/>
    <w:rsid w:val="23720679"/>
    <w:rsid w:val="23B73F3B"/>
    <w:rsid w:val="23C14D25"/>
    <w:rsid w:val="23CD5478"/>
    <w:rsid w:val="24232332"/>
    <w:rsid w:val="24271365"/>
    <w:rsid w:val="245B35DF"/>
    <w:rsid w:val="245C67FB"/>
    <w:rsid w:val="245E4322"/>
    <w:rsid w:val="24741270"/>
    <w:rsid w:val="24747FE9"/>
    <w:rsid w:val="24886C8E"/>
    <w:rsid w:val="248C763A"/>
    <w:rsid w:val="249A159C"/>
    <w:rsid w:val="24A26904"/>
    <w:rsid w:val="24A361D8"/>
    <w:rsid w:val="24BB1774"/>
    <w:rsid w:val="24BB3369"/>
    <w:rsid w:val="24C90335"/>
    <w:rsid w:val="253A2E7C"/>
    <w:rsid w:val="253F4153"/>
    <w:rsid w:val="254B6F9C"/>
    <w:rsid w:val="255120D8"/>
    <w:rsid w:val="25641E0C"/>
    <w:rsid w:val="25771315"/>
    <w:rsid w:val="257F5F1E"/>
    <w:rsid w:val="25853C66"/>
    <w:rsid w:val="258B252D"/>
    <w:rsid w:val="25D725DE"/>
    <w:rsid w:val="25EE7927"/>
    <w:rsid w:val="263016BE"/>
    <w:rsid w:val="26325A66"/>
    <w:rsid w:val="263F63D5"/>
    <w:rsid w:val="2655311D"/>
    <w:rsid w:val="265551BF"/>
    <w:rsid w:val="26B24DF9"/>
    <w:rsid w:val="26B47D7B"/>
    <w:rsid w:val="26BB5A5B"/>
    <w:rsid w:val="26BE6D31"/>
    <w:rsid w:val="26C32B62"/>
    <w:rsid w:val="27127645"/>
    <w:rsid w:val="2739010E"/>
    <w:rsid w:val="274150A5"/>
    <w:rsid w:val="275C2DD3"/>
    <w:rsid w:val="279369D8"/>
    <w:rsid w:val="27BA3F65"/>
    <w:rsid w:val="27D25752"/>
    <w:rsid w:val="280C7F2C"/>
    <w:rsid w:val="28540EDA"/>
    <w:rsid w:val="285F4B0C"/>
    <w:rsid w:val="286934BA"/>
    <w:rsid w:val="287333A1"/>
    <w:rsid w:val="28985DB6"/>
    <w:rsid w:val="28BC0DA2"/>
    <w:rsid w:val="28FD5243"/>
    <w:rsid w:val="28FF41F3"/>
    <w:rsid w:val="290009A8"/>
    <w:rsid w:val="290A14E0"/>
    <w:rsid w:val="29250A63"/>
    <w:rsid w:val="294613F6"/>
    <w:rsid w:val="294807ED"/>
    <w:rsid w:val="294D3F5A"/>
    <w:rsid w:val="29667E5C"/>
    <w:rsid w:val="2969139F"/>
    <w:rsid w:val="29714AF7"/>
    <w:rsid w:val="299B6018"/>
    <w:rsid w:val="29AD6A44"/>
    <w:rsid w:val="29BE417F"/>
    <w:rsid w:val="29CC7E77"/>
    <w:rsid w:val="29D46E34"/>
    <w:rsid w:val="29F3375E"/>
    <w:rsid w:val="29F714A0"/>
    <w:rsid w:val="2A167383"/>
    <w:rsid w:val="2A1A153F"/>
    <w:rsid w:val="2A355B25"/>
    <w:rsid w:val="2A862D0D"/>
    <w:rsid w:val="2AC670C5"/>
    <w:rsid w:val="2AED5B19"/>
    <w:rsid w:val="2B231E21"/>
    <w:rsid w:val="2B503E42"/>
    <w:rsid w:val="2B9B71FF"/>
    <w:rsid w:val="2BAF7B59"/>
    <w:rsid w:val="2C335B86"/>
    <w:rsid w:val="2C673F8F"/>
    <w:rsid w:val="2C7B222D"/>
    <w:rsid w:val="2C8805EA"/>
    <w:rsid w:val="2C917003"/>
    <w:rsid w:val="2C934D84"/>
    <w:rsid w:val="2CAE32CD"/>
    <w:rsid w:val="2CB76CC5"/>
    <w:rsid w:val="2CB90C8F"/>
    <w:rsid w:val="2CD74A42"/>
    <w:rsid w:val="2CE76B96"/>
    <w:rsid w:val="2CF04D32"/>
    <w:rsid w:val="2D6F21E1"/>
    <w:rsid w:val="2D885DBF"/>
    <w:rsid w:val="2D9933D6"/>
    <w:rsid w:val="2DE0049D"/>
    <w:rsid w:val="2DF84575"/>
    <w:rsid w:val="2E0C1BA0"/>
    <w:rsid w:val="2E161DC9"/>
    <w:rsid w:val="2E455A34"/>
    <w:rsid w:val="2E62055B"/>
    <w:rsid w:val="2E741E09"/>
    <w:rsid w:val="2EB85EE6"/>
    <w:rsid w:val="2EBD433B"/>
    <w:rsid w:val="2ED022C0"/>
    <w:rsid w:val="2EF56A2D"/>
    <w:rsid w:val="2F23059D"/>
    <w:rsid w:val="2F457442"/>
    <w:rsid w:val="2F8C2AC2"/>
    <w:rsid w:val="2FD63906"/>
    <w:rsid w:val="2FDE6606"/>
    <w:rsid w:val="2FEC019D"/>
    <w:rsid w:val="2FEC3129"/>
    <w:rsid w:val="2FED0C50"/>
    <w:rsid w:val="2FF64CB9"/>
    <w:rsid w:val="300A0061"/>
    <w:rsid w:val="300F0BC6"/>
    <w:rsid w:val="303C3E7A"/>
    <w:rsid w:val="30554F4D"/>
    <w:rsid w:val="306C7DC6"/>
    <w:rsid w:val="30957FCA"/>
    <w:rsid w:val="309C68FD"/>
    <w:rsid w:val="30D77936"/>
    <w:rsid w:val="30DE369F"/>
    <w:rsid w:val="30E85560"/>
    <w:rsid w:val="30F027A5"/>
    <w:rsid w:val="30F535ED"/>
    <w:rsid w:val="3127714C"/>
    <w:rsid w:val="315A2F3B"/>
    <w:rsid w:val="31B30B56"/>
    <w:rsid w:val="32002EBC"/>
    <w:rsid w:val="3208178A"/>
    <w:rsid w:val="320969EE"/>
    <w:rsid w:val="324059AE"/>
    <w:rsid w:val="3249367E"/>
    <w:rsid w:val="326D4140"/>
    <w:rsid w:val="327E3EF6"/>
    <w:rsid w:val="32A94E5F"/>
    <w:rsid w:val="331C1F78"/>
    <w:rsid w:val="331F7372"/>
    <w:rsid w:val="33370B5F"/>
    <w:rsid w:val="334853CD"/>
    <w:rsid w:val="334C4406"/>
    <w:rsid w:val="334D32ED"/>
    <w:rsid w:val="3355674E"/>
    <w:rsid w:val="33770F5C"/>
    <w:rsid w:val="3381627F"/>
    <w:rsid w:val="339216C5"/>
    <w:rsid w:val="33957634"/>
    <w:rsid w:val="33BE4DDD"/>
    <w:rsid w:val="33C0427E"/>
    <w:rsid w:val="33D20D95"/>
    <w:rsid w:val="33F20F2A"/>
    <w:rsid w:val="33F245EE"/>
    <w:rsid w:val="33F425AD"/>
    <w:rsid w:val="33FE03B1"/>
    <w:rsid w:val="3400497A"/>
    <w:rsid w:val="341449FD"/>
    <w:rsid w:val="345474EF"/>
    <w:rsid w:val="34580D03"/>
    <w:rsid w:val="345D2F08"/>
    <w:rsid w:val="346E05B1"/>
    <w:rsid w:val="34767465"/>
    <w:rsid w:val="3491429F"/>
    <w:rsid w:val="349B3370"/>
    <w:rsid w:val="34A80A6A"/>
    <w:rsid w:val="34F211E2"/>
    <w:rsid w:val="35004E4B"/>
    <w:rsid w:val="35075D32"/>
    <w:rsid w:val="350D2195"/>
    <w:rsid w:val="3529255E"/>
    <w:rsid w:val="35365C93"/>
    <w:rsid w:val="3542559A"/>
    <w:rsid w:val="35670F33"/>
    <w:rsid w:val="35804C49"/>
    <w:rsid w:val="35BE09FB"/>
    <w:rsid w:val="35C10BB4"/>
    <w:rsid w:val="35CB3AA5"/>
    <w:rsid w:val="360311CD"/>
    <w:rsid w:val="36372C24"/>
    <w:rsid w:val="363B1FF8"/>
    <w:rsid w:val="36567B2B"/>
    <w:rsid w:val="367F4BE3"/>
    <w:rsid w:val="36EC5E75"/>
    <w:rsid w:val="36F823B4"/>
    <w:rsid w:val="36FB1E6A"/>
    <w:rsid w:val="37165DAB"/>
    <w:rsid w:val="37184804"/>
    <w:rsid w:val="37386C54"/>
    <w:rsid w:val="374553FC"/>
    <w:rsid w:val="375D66BB"/>
    <w:rsid w:val="37691503"/>
    <w:rsid w:val="37850B18"/>
    <w:rsid w:val="378A01C8"/>
    <w:rsid w:val="37991DE9"/>
    <w:rsid w:val="37CA7555"/>
    <w:rsid w:val="37D22B10"/>
    <w:rsid w:val="37DC7F27"/>
    <w:rsid w:val="381274A5"/>
    <w:rsid w:val="38213B8C"/>
    <w:rsid w:val="38413D3E"/>
    <w:rsid w:val="387A583E"/>
    <w:rsid w:val="389A5A0F"/>
    <w:rsid w:val="390E52F3"/>
    <w:rsid w:val="392456E2"/>
    <w:rsid w:val="39314D46"/>
    <w:rsid w:val="394C4540"/>
    <w:rsid w:val="395A6D03"/>
    <w:rsid w:val="395D0804"/>
    <w:rsid w:val="397B107A"/>
    <w:rsid w:val="3995569A"/>
    <w:rsid w:val="39EE6EEE"/>
    <w:rsid w:val="3A1514CF"/>
    <w:rsid w:val="3A1E795C"/>
    <w:rsid w:val="3A43428E"/>
    <w:rsid w:val="3A4A2360"/>
    <w:rsid w:val="3A721F46"/>
    <w:rsid w:val="3A725533"/>
    <w:rsid w:val="3A79380C"/>
    <w:rsid w:val="3A824DB6"/>
    <w:rsid w:val="3A83468A"/>
    <w:rsid w:val="3A905D5A"/>
    <w:rsid w:val="3AA40F8D"/>
    <w:rsid w:val="3ACF78CF"/>
    <w:rsid w:val="3AEC2C6A"/>
    <w:rsid w:val="3B025977"/>
    <w:rsid w:val="3B056ACF"/>
    <w:rsid w:val="3B060E84"/>
    <w:rsid w:val="3B2D45F6"/>
    <w:rsid w:val="3B3F60C1"/>
    <w:rsid w:val="3B561D9F"/>
    <w:rsid w:val="3B585B17"/>
    <w:rsid w:val="3B5F6C43"/>
    <w:rsid w:val="3B8401F5"/>
    <w:rsid w:val="3BB910C6"/>
    <w:rsid w:val="3BB944E3"/>
    <w:rsid w:val="3C0D648C"/>
    <w:rsid w:val="3C490B4F"/>
    <w:rsid w:val="3C6B347A"/>
    <w:rsid w:val="3C8326BD"/>
    <w:rsid w:val="3C862210"/>
    <w:rsid w:val="3C964B49"/>
    <w:rsid w:val="3CBB635D"/>
    <w:rsid w:val="3CCA001D"/>
    <w:rsid w:val="3CE13998"/>
    <w:rsid w:val="3CF278A5"/>
    <w:rsid w:val="3D1A25AE"/>
    <w:rsid w:val="3D33739B"/>
    <w:rsid w:val="3D462117"/>
    <w:rsid w:val="3D4C3459"/>
    <w:rsid w:val="3D703150"/>
    <w:rsid w:val="3D93447E"/>
    <w:rsid w:val="3DB01C3A"/>
    <w:rsid w:val="3DB8289D"/>
    <w:rsid w:val="3DE05FE2"/>
    <w:rsid w:val="3DE51E85"/>
    <w:rsid w:val="3DF85441"/>
    <w:rsid w:val="3DFA2EB5"/>
    <w:rsid w:val="3E00497D"/>
    <w:rsid w:val="3E0D0E3B"/>
    <w:rsid w:val="3E4F334F"/>
    <w:rsid w:val="3E76339D"/>
    <w:rsid w:val="3E8129EB"/>
    <w:rsid w:val="3EBA43F3"/>
    <w:rsid w:val="3EBD70BA"/>
    <w:rsid w:val="3EC57F24"/>
    <w:rsid w:val="3ED62020"/>
    <w:rsid w:val="3F12422F"/>
    <w:rsid w:val="3F3B2637"/>
    <w:rsid w:val="3F3F70D6"/>
    <w:rsid w:val="3F89635A"/>
    <w:rsid w:val="3FA550A3"/>
    <w:rsid w:val="3FC76DC7"/>
    <w:rsid w:val="401650EB"/>
    <w:rsid w:val="40196395"/>
    <w:rsid w:val="40224945"/>
    <w:rsid w:val="40322C80"/>
    <w:rsid w:val="40632DE6"/>
    <w:rsid w:val="406458B5"/>
    <w:rsid w:val="407F58F4"/>
    <w:rsid w:val="4081158E"/>
    <w:rsid w:val="408F3F4F"/>
    <w:rsid w:val="40A44473"/>
    <w:rsid w:val="40F41E3E"/>
    <w:rsid w:val="414803DC"/>
    <w:rsid w:val="41CC2DBB"/>
    <w:rsid w:val="41DA4B3A"/>
    <w:rsid w:val="41DC1CE5"/>
    <w:rsid w:val="41FF0A9A"/>
    <w:rsid w:val="42415557"/>
    <w:rsid w:val="424C300A"/>
    <w:rsid w:val="424E0FB7"/>
    <w:rsid w:val="42510207"/>
    <w:rsid w:val="42703746"/>
    <w:rsid w:val="42717A22"/>
    <w:rsid w:val="4286740D"/>
    <w:rsid w:val="42D87432"/>
    <w:rsid w:val="42F36804"/>
    <w:rsid w:val="430A6699"/>
    <w:rsid w:val="431030D1"/>
    <w:rsid w:val="4329730D"/>
    <w:rsid w:val="434D1CD9"/>
    <w:rsid w:val="438576C5"/>
    <w:rsid w:val="43AB15A1"/>
    <w:rsid w:val="43B65C4D"/>
    <w:rsid w:val="43C333F7"/>
    <w:rsid w:val="43D65654"/>
    <w:rsid w:val="43E13809"/>
    <w:rsid w:val="440D0EC4"/>
    <w:rsid w:val="443C273B"/>
    <w:rsid w:val="44421112"/>
    <w:rsid w:val="44472CE7"/>
    <w:rsid w:val="445224FF"/>
    <w:rsid w:val="44827761"/>
    <w:rsid w:val="44C1472D"/>
    <w:rsid w:val="44CF2979"/>
    <w:rsid w:val="44D74E1C"/>
    <w:rsid w:val="44E17862"/>
    <w:rsid w:val="45216691"/>
    <w:rsid w:val="452F3AAB"/>
    <w:rsid w:val="455F2D13"/>
    <w:rsid w:val="45A656D1"/>
    <w:rsid w:val="45D64208"/>
    <w:rsid w:val="45D65FB6"/>
    <w:rsid w:val="46000AD2"/>
    <w:rsid w:val="462D48B7"/>
    <w:rsid w:val="463D0684"/>
    <w:rsid w:val="46767799"/>
    <w:rsid w:val="46845E69"/>
    <w:rsid w:val="469E021A"/>
    <w:rsid w:val="46A72C8C"/>
    <w:rsid w:val="46CB7BB1"/>
    <w:rsid w:val="46CE3131"/>
    <w:rsid w:val="46E73AE7"/>
    <w:rsid w:val="46F1643C"/>
    <w:rsid w:val="47356D0C"/>
    <w:rsid w:val="474451A1"/>
    <w:rsid w:val="47541888"/>
    <w:rsid w:val="47745A86"/>
    <w:rsid w:val="477C0DDF"/>
    <w:rsid w:val="479E20D3"/>
    <w:rsid w:val="47A6638F"/>
    <w:rsid w:val="47B10E99"/>
    <w:rsid w:val="47F00E85"/>
    <w:rsid w:val="4840005F"/>
    <w:rsid w:val="484231D6"/>
    <w:rsid w:val="4860600B"/>
    <w:rsid w:val="48A8612B"/>
    <w:rsid w:val="48B90969"/>
    <w:rsid w:val="48C61A77"/>
    <w:rsid w:val="49055158"/>
    <w:rsid w:val="4912774E"/>
    <w:rsid w:val="49232D4C"/>
    <w:rsid w:val="492D3005"/>
    <w:rsid w:val="49443E68"/>
    <w:rsid w:val="4958211B"/>
    <w:rsid w:val="495B2763"/>
    <w:rsid w:val="49667651"/>
    <w:rsid w:val="4977185E"/>
    <w:rsid w:val="497E2BEC"/>
    <w:rsid w:val="49943300"/>
    <w:rsid w:val="49A125AC"/>
    <w:rsid w:val="49B22896"/>
    <w:rsid w:val="49EA258D"/>
    <w:rsid w:val="4A104F60"/>
    <w:rsid w:val="4A317C5F"/>
    <w:rsid w:val="4A344462"/>
    <w:rsid w:val="4A355451"/>
    <w:rsid w:val="4A48404A"/>
    <w:rsid w:val="4A581C9D"/>
    <w:rsid w:val="4A6F2535"/>
    <w:rsid w:val="4A842A14"/>
    <w:rsid w:val="4ADF17E2"/>
    <w:rsid w:val="4B1D4149"/>
    <w:rsid w:val="4B7F5D9E"/>
    <w:rsid w:val="4B9133DA"/>
    <w:rsid w:val="4BB40E78"/>
    <w:rsid w:val="4BB4500A"/>
    <w:rsid w:val="4C2555A1"/>
    <w:rsid w:val="4C4951AE"/>
    <w:rsid w:val="4C6466FF"/>
    <w:rsid w:val="4C6C742A"/>
    <w:rsid w:val="4C71665B"/>
    <w:rsid w:val="4C772D96"/>
    <w:rsid w:val="4CAC181F"/>
    <w:rsid w:val="4CCA439B"/>
    <w:rsid w:val="4CD530CB"/>
    <w:rsid w:val="4CE0771A"/>
    <w:rsid w:val="4CE12C2C"/>
    <w:rsid w:val="4CE4545C"/>
    <w:rsid w:val="4CE532BB"/>
    <w:rsid w:val="4D2C6E03"/>
    <w:rsid w:val="4D826A23"/>
    <w:rsid w:val="4DAF68E2"/>
    <w:rsid w:val="4DC13C49"/>
    <w:rsid w:val="4DC92E74"/>
    <w:rsid w:val="4DD66FC4"/>
    <w:rsid w:val="4DD94130"/>
    <w:rsid w:val="4DE15894"/>
    <w:rsid w:val="4E222111"/>
    <w:rsid w:val="4E41423C"/>
    <w:rsid w:val="4E5B34FC"/>
    <w:rsid w:val="4E606B2D"/>
    <w:rsid w:val="4E797C96"/>
    <w:rsid w:val="4E881E17"/>
    <w:rsid w:val="4EB8094F"/>
    <w:rsid w:val="4EFC18B0"/>
    <w:rsid w:val="4F165675"/>
    <w:rsid w:val="4F2D10A5"/>
    <w:rsid w:val="4F3C7331"/>
    <w:rsid w:val="4F4356D5"/>
    <w:rsid w:val="4F4C1097"/>
    <w:rsid w:val="4F5172A7"/>
    <w:rsid w:val="4F556FEB"/>
    <w:rsid w:val="4F697E9B"/>
    <w:rsid w:val="4F781E8C"/>
    <w:rsid w:val="4F884685"/>
    <w:rsid w:val="4FA1727B"/>
    <w:rsid w:val="4FDD43E5"/>
    <w:rsid w:val="4FEB233D"/>
    <w:rsid w:val="50667EAF"/>
    <w:rsid w:val="507F4846"/>
    <w:rsid w:val="50BE4216"/>
    <w:rsid w:val="50C566C5"/>
    <w:rsid w:val="50FB247E"/>
    <w:rsid w:val="51DD7A65"/>
    <w:rsid w:val="51F003FF"/>
    <w:rsid w:val="5210191B"/>
    <w:rsid w:val="52124763"/>
    <w:rsid w:val="52126A85"/>
    <w:rsid w:val="521F0F3D"/>
    <w:rsid w:val="522956BF"/>
    <w:rsid w:val="52383B54"/>
    <w:rsid w:val="524E3378"/>
    <w:rsid w:val="52761139"/>
    <w:rsid w:val="52846D9A"/>
    <w:rsid w:val="52AD62F0"/>
    <w:rsid w:val="52C00935"/>
    <w:rsid w:val="52D51A49"/>
    <w:rsid w:val="53101FD1"/>
    <w:rsid w:val="5311578E"/>
    <w:rsid w:val="531B7E68"/>
    <w:rsid w:val="531F25DF"/>
    <w:rsid w:val="53A53FF8"/>
    <w:rsid w:val="53B042EA"/>
    <w:rsid w:val="53E2021C"/>
    <w:rsid w:val="53F935BD"/>
    <w:rsid w:val="54176117"/>
    <w:rsid w:val="54187EE0"/>
    <w:rsid w:val="54372C6B"/>
    <w:rsid w:val="54424CE4"/>
    <w:rsid w:val="547F191A"/>
    <w:rsid w:val="54A56347"/>
    <w:rsid w:val="54A83213"/>
    <w:rsid w:val="54A91BF3"/>
    <w:rsid w:val="54DE50C2"/>
    <w:rsid w:val="54F31C6C"/>
    <w:rsid w:val="551B1C37"/>
    <w:rsid w:val="556F2D08"/>
    <w:rsid w:val="556F5ADF"/>
    <w:rsid w:val="557B26D6"/>
    <w:rsid w:val="558477DD"/>
    <w:rsid w:val="55943798"/>
    <w:rsid w:val="55997EC7"/>
    <w:rsid w:val="55B876C0"/>
    <w:rsid w:val="55BF6036"/>
    <w:rsid w:val="55E069DD"/>
    <w:rsid w:val="55FA3DC5"/>
    <w:rsid w:val="561548D9"/>
    <w:rsid w:val="56327239"/>
    <w:rsid w:val="564344C8"/>
    <w:rsid w:val="56743280"/>
    <w:rsid w:val="56754F27"/>
    <w:rsid w:val="567E5C10"/>
    <w:rsid w:val="56E878F7"/>
    <w:rsid w:val="56F42038"/>
    <w:rsid w:val="57266671"/>
    <w:rsid w:val="57723665"/>
    <w:rsid w:val="5778214B"/>
    <w:rsid w:val="57952240"/>
    <w:rsid w:val="57964627"/>
    <w:rsid w:val="57E12CB0"/>
    <w:rsid w:val="57F14413"/>
    <w:rsid w:val="57F4051E"/>
    <w:rsid w:val="57F75410"/>
    <w:rsid w:val="58242BB1"/>
    <w:rsid w:val="5868301B"/>
    <w:rsid w:val="586D09FC"/>
    <w:rsid w:val="5878114F"/>
    <w:rsid w:val="58792206"/>
    <w:rsid w:val="58804509"/>
    <w:rsid w:val="58847AF3"/>
    <w:rsid w:val="58B27195"/>
    <w:rsid w:val="58B93872"/>
    <w:rsid w:val="58BC5ADA"/>
    <w:rsid w:val="5900361E"/>
    <w:rsid w:val="591075D9"/>
    <w:rsid w:val="59124520"/>
    <w:rsid w:val="591E3AA4"/>
    <w:rsid w:val="59280C26"/>
    <w:rsid w:val="59367040"/>
    <w:rsid w:val="59413C36"/>
    <w:rsid w:val="594C061D"/>
    <w:rsid w:val="59684F32"/>
    <w:rsid w:val="596B5D20"/>
    <w:rsid w:val="597043B9"/>
    <w:rsid w:val="59AF7400"/>
    <w:rsid w:val="59DE4FE1"/>
    <w:rsid w:val="59F3611C"/>
    <w:rsid w:val="5A060BE1"/>
    <w:rsid w:val="5AB32912"/>
    <w:rsid w:val="5AFB16B3"/>
    <w:rsid w:val="5B0311A3"/>
    <w:rsid w:val="5B370E4D"/>
    <w:rsid w:val="5B392E17"/>
    <w:rsid w:val="5B5011EC"/>
    <w:rsid w:val="5B7F31FC"/>
    <w:rsid w:val="5B853307"/>
    <w:rsid w:val="5B9206E4"/>
    <w:rsid w:val="5B9F32CE"/>
    <w:rsid w:val="5BA201F2"/>
    <w:rsid w:val="5BCC3C8B"/>
    <w:rsid w:val="5BD07C7F"/>
    <w:rsid w:val="5C1F5521"/>
    <w:rsid w:val="5C341831"/>
    <w:rsid w:val="5C3A68FC"/>
    <w:rsid w:val="5C54758F"/>
    <w:rsid w:val="5C8B49C4"/>
    <w:rsid w:val="5CB313ED"/>
    <w:rsid w:val="5CB52CC2"/>
    <w:rsid w:val="5CBA56AA"/>
    <w:rsid w:val="5CD728E8"/>
    <w:rsid w:val="5D521F6E"/>
    <w:rsid w:val="5D7874FB"/>
    <w:rsid w:val="5D810AA5"/>
    <w:rsid w:val="5D83037A"/>
    <w:rsid w:val="5D84636B"/>
    <w:rsid w:val="5DB01FCA"/>
    <w:rsid w:val="5DB20C5F"/>
    <w:rsid w:val="5DF72B16"/>
    <w:rsid w:val="5E1611EE"/>
    <w:rsid w:val="5E17212D"/>
    <w:rsid w:val="5E510478"/>
    <w:rsid w:val="5E58060F"/>
    <w:rsid w:val="5E777B77"/>
    <w:rsid w:val="5E7A5C21"/>
    <w:rsid w:val="5EBE5E5B"/>
    <w:rsid w:val="5EC073AC"/>
    <w:rsid w:val="5ED1064E"/>
    <w:rsid w:val="5EDF7832"/>
    <w:rsid w:val="5EEB267A"/>
    <w:rsid w:val="5F3F4736"/>
    <w:rsid w:val="5F441861"/>
    <w:rsid w:val="5FF23595"/>
    <w:rsid w:val="5FFA1467"/>
    <w:rsid w:val="6037544B"/>
    <w:rsid w:val="60692603"/>
    <w:rsid w:val="607A3FE6"/>
    <w:rsid w:val="608F7035"/>
    <w:rsid w:val="609037FB"/>
    <w:rsid w:val="60915061"/>
    <w:rsid w:val="609920FD"/>
    <w:rsid w:val="60EA44B0"/>
    <w:rsid w:val="6109328C"/>
    <w:rsid w:val="610B0D05"/>
    <w:rsid w:val="611D6D37"/>
    <w:rsid w:val="614B0C26"/>
    <w:rsid w:val="61683ADA"/>
    <w:rsid w:val="61710B30"/>
    <w:rsid w:val="61C45FCD"/>
    <w:rsid w:val="61DF5D9B"/>
    <w:rsid w:val="61EC6572"/>
    <w:rsid w:val="61FA15EF"/>
    <w:rsid w:val="620B6B90"/>
    <w:rsid w:val="62344338"/>
    <w:rsid w:val="623D395A"/>
    <w:rsid w:val="627D3B03"/>
    <w:rsid w:val="628F77C1"/>
    <w:rsid w:val="629A03A7"/>
    <w:rsid w:val="62A4243E"/>
    <w:rsid w:val="62B66AFB"/>
    <w:rsid w:val="62BA73A3"/>
    <w:rsid w:val="62BE251B"/>
    <w:rsid w:val="62BF74E4"/>
    <w:rsid w:val="62C813B3"/>
    <w:rsid w:val="62C8367D"/>
    <w:rsid w:val="62DB4080"/>
    <w:rsid w:val="630C0C8E"/>
    <w:rsid w:val="635A307F"/>
    <w:rsid w:val="63886472"/>
    <w:rsid w:val="638F2E18"/>
    <w:rsid w:val="63A6046B"/>
    <w:rsid w:val="63CB07A9"/>
    <w:rsid w:val="642D5A7E"/>
    <w:rsid w:val="6434318D"/>
    <w:rsid w:val="64366895"/>
    <w:rsid w:val="64455E07"/>
    <w:rsid w:val="64512018"/>
    <w:rsid w:val="64685E2B"/>
    <w:rsid w:val="64713622"/>
    <w:rsid w:val="648669A1"/>
    <w:rsid w:val="648B41D1"/>
    <w:rsid w:val="64966BE4"/>
    <w:rsid w:val="64C33752"/>
    <w:rsid w:val="64DE698B"/>
    <w:rsid w:val="65294631"/>
    <w:rsid w:val="657F074A"/>
    <w:rsid w:val="658B0F57"/>
    <w:rsid w:val="658D2B5B"/>
    <w:rsid w:val="65AE4402"/>
    <w:rsid w:val="65E128E5"/>
    <w:rsid w:val="66091638"/>
    <w:rsid w:val="665023B9"/>
    <w:rsid w:val="6656410B"/>
    <w:rsid w:val="665E1984"/>
    <w:rsid w:val="66721C10"/>
    <w:rsid w:val="66772EC0"/>
    <w:rsid w:val="668B029F"/>
    <w:rsid w:val="6692162D"/>
    <w:rsid w:val="66A355E9"/>
    <w:rsid w:val="66B32CD9"/>
    <w:rsid w:val="66C51A03"/>
    <w:rsid w:val="66CC0EF1"/>
    <w:rsid w:val="66ED4D45"/>
    <w:rsid w:val="672C5093"/>
    <w:rsid w:val="674A76E6"/>
    <w:rsid w:val="674B23FF"/>
    <w:rsid w:val="67566AFF"/>
    <w:rsid w:val="676D3488"/>
    <w:rsid w:val="67810274"/>
    <w:rsid w:val="67966EFB"/>
    <w:rsid w:val="679B1A75"/>
    <w:rsid w:val="67A41618"/>
    <w:rsid w:val="67AF72E2"/>
    <w:rsid w:val="67B96259"/>
    <w:rsid w:val="67BE358C"/>
    <w:rsid w:val="67C47F0C"/>
    <w:rsid w:val="68251B1D"/>
    <w:rsid w:val="68394DB2"/>
    <w:rsid w:val="68A30118"/>
    <w:rsid w:val="68AA1B83"/>
    <w:rsid w:val="68BC5830"/>
    <w:rsid w:val="68E33D71"/>
    <w:rsid w:val="691C78D4"/>
    <w:rsid w:val="691E0353"/>
    <w:rsid w:val="6933389E"/>
    <w:rsid w:val="696E6382"/>
    <w:rsid w:val="69801C11"/>
    <w:rsid w:val="69BE2739"/>
    <w:rsid w:val="69DC778F"/>
    <w:rsid w:val="69F50851"/>
    <w:rsid w:val="6A191C39"/>
    <w:rsid w:val="6A674B7F"/>
    <w:rsid w:val="6A6B06F4"/>
    <w:rsid w:val="6A8B2C1A"/>
    <w:rsid w:val="6AC248A4"/>
    <w:rsid w:val="6ACC7A28"/>
    <w:rsid w:val="6AE52674"/>
    <w:rsid w:val="6AF65344"/>
    <w:rsid w:val="6B2D085A"/>
    <w:rsid w:val="6B400D89"/>
    <w:rsid w:val="6B8F22D3"/>
    <w:rsid w:val="6B923E22"/>
    <w:rsid w:val="6BA51E03"/>
    <w:rsid w:val="6BA936A1"/>
    <w:rsid w:val="6BBB7AD3"/>
    <w:rsid w:val="6BDD62A5"/>
    <w:rsid w:val="6C0134DD"/>
    <w:rsid w:val="6C463D12"/>
    <w:rsid w:val="6CD01D77"/>
    <w:rsid w:val="6D036CAE"/>
    <w:rsid w:val="6D25144D"/>
    <w:rsid w:val="6D490BE9"/>
    <w:rsid w:val="6D570D61"/>
    <w:rsid w:val="6D7F7D4C"/>
    <w:rsid w:val="6D9B786A"/>
    <w:rsid w:val="6DAD2033"/>
    <w:rsid w:val="6DD54C21"/>
    <w:rsid w:val="6DD8201C"/>
    <w:rsid w:val="6DF55434"/>
    <w:rsid w:val="6E19051B"/>
    <w:rsid w:val="6E4F6056"/>
    <w:rsid w:val="6E7660AB"/>
    <w:rsid w:val="6EA25D05"/>
    <w:rsid w:val="6EBD6BCC"/>
    <w:rsid w:val="6EC53E1F"/>
    <w:rsid w:val="6EFF5CCE"/>
    <w:rsid w:val="6F3746D3"/>
    <w:rsid w:val="6F810491"/>
    <w:rsid w:val="6FA06B69"/>
    <w:rsid w:val="6FC0720B"/>
    <w:rsid w:val="6FD149EE"/>
    <w:rsid w:val="6FD21088"/>
    <w:rsid w:val="6FE816A4"/>
    <w:rsid w:val="6FF9096F"/>
    <w:rsid w:val="70090BB2"/>
    <w:rsid w:val="700C27C9"/>
    <w:rsid w:val="70473489"/>
    <w:rsid w:val="7082656C"/>
    <w:rsid w:val="70A8673C"/>
    <w:rsid w:val="71193388"/>
    <w:rsid w:val="712C6204"/>
    <w:rsid w:val="716B622F"/>
    <w:rsid w:val="71844269"/>
    <w:rsid w:val="718F3339"/>
    <w:rsid w:val="719100B9"/>
    <w:rsid w:val="71BC663C"/>
    <w:rsid w:val="71D21478"/>
    <w:rsid w:val="71FB277D"/>
    <w:rsid w:val="722241AD"/>
    <w:rsid w:val="725F4A47"/>
    <w:rsid w:val="726C5429"/>
    <w:rsid w:val="728243B1"/>
    <w:rsid w:val="729055BB"/>
    <w:rsid w:val="72AC6CA8"/>
    <w:rsid w:val="72B76B62"/>
    <w:rsid w:val="72C72545"/>
    <w:rsid w:val="72E076BA"/>
    <w:rsid w:val="73013DC3"/>
    <w:rsid w:val="73450483"/>
    <w:rsid w:val="73D6352B"/>
    <w:rsid w:val="73EF6311"/>
    <w:rsid w:val="73FD4BDD"/>
    <w:rsid w:val="7411535E"/>
    <w:rsid w:val="742064CB"/>
    <w:rsid w:val="742833D9"/>
    <w:rsid w:val="743261FE"/>
    <w:rsid w:val="74404DBF"/>
    <w:rsid w:val="74746816"/>
    <w:rsid w:val="74A569D0"/>
    <w:rsid w:val="74A60F86"/>
    <w:rsid w:val="74A82272"/>
    <w:rsid w:val="74BF3F35"/>
    <w:rsid w:val="74D50200"/>
    <w:rsid w:val="74F82BF0"/>
    <w:rsid w:val="74FD680C"/>
    <w:rsid w:val="7511394E"/>
    <w:rsid w:val="75876104"/>
    <w:rsid w:val="75C8506C"/>
    <w:rsid w:val="75D7705D"/>
    <w:rsid w:val="75F27297"/>
    <w:rsid w:val="76200A04"/>
    <w:rsid w:val="7642462B"/>
    <w:rsid w:val="7673772C"/>
    <w:rsid w:val="76777626"/>
    <w:rsid w:val="76BB072D"/>
    <w:rsid w:val="76D17F50"/>
    <w:rsid w:val="76E047E8"/>
    <w:rsid w:val="76E934EC"/>
    <w:rsid w:val="76F26C4C"/>
    <w:rsid w:val="770D3CD2"/>
    <w:rsid w:val="771C566F"/>
    <w:rsid w:val="77536BB7"/>
    <w:rsid w:val="775C7F44"/>
    <w:rsid w:val="77673D2F"/>
    <w:rsid w:val="779276DF"/>
    <w:rsid w:val="77FA77F9"/>
    <w:rsid w:val="77FC7382"/>
    <w:rsid w:val="78132994"/>
    <w:rsid w:val="78191BAF"/>
    <w:rsid w:val="78306EF8"/>
    <w:rsid w:val="78372035"/>
    <w:rsid w:val="78415103"/>
    <w:rsid w:val="7858245B"/>
    <w:rsid w:val="78656E79"/>
    <w:rsid w:val="78914BD5"/>
    <w:rsid w:val="789463B5"/>
    <w:rsid w:val="78A701F7"/>
    <w:rsid w:val="78BA7E4B"/>
    <w:rsid w:val="791411A9"/>
    <w:rsid w:val="793F18D1"/>
    <w:rsid w:val="794E5888"/>
    <w:rsid w:val="79782905"/>
    <w:rsid w:val="79B17BC5"/>
    <w:rsid w:val="79C142AC"/>
    <w:rsid w:val="79D35D8D"/>
    <w:rsid w:val="79D445E6"/>
    <w:rsid w:val="79D82F98"/>
    <w:rsid w:val="79DF2984"/>
    <w:rsid w:val="7A0103A1"/>
    <w:rsid w:val="7A38728A"/>
    <w:rsid w:val="7A527456"/>
    <w:rsid w:val="7A5D5DDB"/>
    <w:rsid w:val="7A601D17"/>
    <w:rsid w:val="7A7E3B97"/>
    <w:rsid w:val="7A7F1A71"/>
    <w:rsid w:val="7AA9428F"/>
    <w:rsid w:val="7ACC115A"/>
    <w:rsid w:val="7AD5178A"/>
    <w:rsid w:val="7AF55ECF"/>
    <w:rsid w:val="7AF95CC7"/>
    <w:rsid w:val="7B121103"/>
    <w:rsid w:val="7B6272A2"/>
    <w:rsid w:val="7B990BBF"/>
    <w:rsid w:val="7B9B0B2D"/>
    <w:rsid w:val="7BAA39C5"/>
    <w:rsid w:val="7BE20509"/>
    <w:rsid w:val="7BE522D0"/>
    <w:rsid w:val="7C61769E"/>
    <w:rsid w:val="7C635ACE"/>
    <w:rsid w:val="7CE107C1"/>
    <w:rsid w:val="7CE81B50"/>
    <w:rsid w:val="7CFB671F"/>
    <w:rsid w:val="7D015803"/>
    <w:rsid w:val="7D054934"/>
    <w:rsid w:val="7D0975A9"/>
    <w:rsid w:val="7D097DB6"/>
    <w:rsid w:val="7D124D7A"/>
    <w:rsid w:val="7D230CAC"/>
    <w:rsid w:val="7D510A98"/>
    <w:rsid w:val="7D5D23BD"/>
    <w:rsid w:val="7D7B0C16"/>
    <w:rsid w:val="7D9478CB"/>
    <w:rsid w:val="7DB90A0E"/>
    <w:rsid w:val="7DCA3F6F"/>
    <w:rsid w:val="7DEA2520"/>
    <w:rsid w:val="7E15362A"/>
    <w:rsid w:val="7E210562"/>
    <w:rsid w:val="7E841244"/>
    <w:rsid w:val="7E8A6CC1"/>
    <w:rsid w:val="7E8E6727"/>
    <w:rsid w:val="7E8E7B1E"/>
    <w:rsid w:val="7EC00FD6"/>
    <w:rsid w:val="7ECE583A"/>
    <w:rsid w:val="7ED13DBE"/>
    <w:rsid w:val="7EF133EE"/>
    <w:rsid w:val="7F05790F"/>
    <w:rsid w:val="7F076C05"/>
    <w:rsid w:val="7F0D3AEF"/>
    <w:rsid w:val="7F33200F"/>
    <w:rsid w:val="7F3F6084"/>
    <w:rsid w:val="7F623E3B"/>
    <w:rsid w:val="7F624A07"/>
    <w:rsid w:val="7F794B9F"/>
    <w:rsid w:val="7F85507B"/>
    <w:rsid w:val="7F9D48C5"/>
    <w:rsid w:val="7FB043C2"/>
    <w:rsid w:val="7FB6162D"/>
    <w:rsid w:val="7FDF723A"/>
    <w:rsid w:val="7FE452E0"/>
    <w:rsid w:val="7FE5681A"/>
    <w:rsid w:val="7FFE2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1"/>
    <w:qFormat/>
    <w:uiPriority w:val="0"/>
    <w:pPr>
      <w:keepNext/>
      <w:widowControl/>
      <w:tabs>
        <w:tab w:val="left" w:pos="432"/>
      </w:tabs>
      <w:ind w:left="432" w:hanging="432"/>
      <w:jc w:val="center"/>
      <w:outlineLvl w:val="0"/>
    </w:pPr>
    <w:rPr>
      <w:rFonts w:ascii="黑体" w:eastAsia="黑体"/>
      <w:kern w:val="0"/>
      <w:sz w:val="52"/>
    </w:rPr>
  </w:style>
  <w:style w:type="paragraph" w:styleId="3">
    <w:name w:val="heading 2"/>
    <w:basedOn w:val="1"/>
    <w:next w:val="1"/>
    <w:link w:val="12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5"/>
    <w:link w:val="276"/>
    <w:qFormat/>
    <w:uiPriority w:val="0"/>
    <w:pPr>
      <w:keepNext/>
      <w:keepLines/>
      <w:widowControl/>
      <w:tabs>
        <w:tab w:val="left" w:pos="720"/>
      </w:tabs>
      <w:spacing w:before="120" w:after="120" w:line="360" w:lineRule="auto"/>
      <w:ind w:left="720" w:hanging="720"/>
      <w:jc w:val="center"/>
      <w:outlineLvl w:val="2"/>
    </w:pPr>
    <w:rPr>
      <w:b/>
      <w:sz w:val="32"/>
      <w:szCs w:val="24"/>
    </w:rPr>
  </w:style>
  <w:style w:type="paragraph" w:styleId="7">
    <w:name w:val="heading 4"/>
    <w:basedOn w:val="1"/>
    <w:next w:val="8"/>
    <w:link w:val="107"/>
    <w:qFormat/>
    <w:uiPriority w:val="0"/>
    <w:pPr>
      <w:keepNext/>
      <w:keepLines/>
      <w:widowControl/>
      <w:spacing w:before="120" w:after="120" w:line="360" w:lineRule="auto"/>
      <w:jc w:val="center"/>
      <w:outlineLvl w:val="3"/>
    </w:pPr>
    <w:rPr>
      <w:rFonts w:ascii="Arial" w:hAnsi="Arial" w:eastAsia="黑体"/>
      <w:sz w:val="28"/>
      <w:szCs w:val="24"/>
    </w:rPr>
  </w:style>
  <w:style w:type="paragraph" w:styleId="9">
    <w:name w:val="heading 5"/>
    <w:basedOn w:val="1"/>
    <w:next w:val="1"/>
    <w:link w:val="81"/>
    <w:qFormat/>
    <w:uiPriority w:val="0"/>
    <w:pPr>
      <w:keepNext/>
      <w:keepLines/>
      <w:widowControl/>
      <w:spacing w:before="120" w:after="120" w:line="360" w:lineRule="auto"/>
      <w:ind w:firstLine="499"/>
      <w:jc w:val="left"/>
      <w:outlineLvl w:val="4"/>
    </w:pPr>
    <w:rPr>
      <w:rFonts w:ascii="宋体" w:hAnsi="宋体"/>
      <w:b/>
      <w:kern w:val="0"/>
      <w:sz w:val="24"/>
    </w:rPr>
  </w:style>
  <w:style w:type="paragraph" w:styleId="10">
    <w:name w:val="heading 6"/>
    <w:basedOn w:val="1"/>
    <w:next w:val="1"/>
    <w:link w:val="86"/>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szCs w:val="24"/>
    </w:rPr>
  </w:style>
  <w:style w:type="paragraph" w:styleId="11">
    <w:name w:val="heading 7"/>
    <w:basedOn w:val="1"/>
    <w:next w:val="1"/>
    <w:link w:val="70"/>
    <w:qFormat/>
    <w:uiPriority w:val="0"/>
    <w:pPr>
      <w:keepNext/>
      <w:keepLines/>
      <w:widowControl/>
      <w:tabs>
        <w:tab w:val="left" w:pos="2520"/>
      </w:tabs>
      <w:spacing w:before="240" w:after="64" w:line="317" w:lineRule="auto"/>
      <w:ind w:left="1296" w:hanging="1296"/>
      <w:jc w:val="left"/>
      <w:outlineLvl w:val="6"/>
    </w:pPr>
    <w:rPr>
      <w:b/>
      <w:bCs/>
      <w:sz w:val="24"/>
      <w:szCs w:val="24"/>
    </w:rPr>
  </w:style>
  <w:style w:type="paragraph" w:styleId="12">
    <w:name w:val="heading 8"/>
    <w:basedOn w:val="1"/>
    <w:next w:val="1"/>
    <w:link w:val="7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szCs w:val="24"/>
    </w:rPr>
  </w:style>
  <w:style w:type="paragraph" w:styleId="13">
    <w:name w:val="heading 9"/>
    <w:basedOn w:val="1"/>
    <w:next w:val="1"/>
    <w:link w:val="77"/>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link w:val="91"/>
    <w:qFormat/>
    <w:uiPriority w:val="0"/>
    <w:pPr>
      <w:spacing w:after="120"/>
    </w:pPr>
    <w:rPr>
      <w:szCs w:val="24"/>
    </w:rPr>
  </w:style>
  <w:style w:type="paragraph" w:styleId="6">
    <w:name w:val="index 9"/>
    <w:basedOn w:val="1"/>
    <w:next w:val="1"/>
    <w:qFormat/>
    <w:uiPriority w:val="0"/>
    <w:pPr>
      <w:ind w:left="3360"/>
    </w:pPr>
  </w:style>
  <w:style w:type="paragraph" w:styleId="8">
    <w:name w:val="Normal Indent"/>
    <w:basedOn w:val="1"/>
    <w:qFormat/>
    <w:uiPriority w:val="0"/>
    <w:pPr>
      <w:ind w:firstLine="420" w:firstLineChars="200"/>
    </w:pPr>
  </w:style>
  <w:style w:type="paragraph" w:styleId="14">
    <w:name w:val="toc 7"/>
    <w:basedOn w:val="1"/>
    <w:next w:val="1"/>
    <w:qFormat/>
    <w:uiPriority w:val="0"/>
    <w:pPr>
      <w:ind w:left="1260"/>
      <w:jc w:val="left"/>
    </w:pPr>
    <w:rPr>
      <w:sz w:val="18"/>
      <w:szCs w:val="18"/>
    </w:rPr>
  </w:style>
  <w:style w:type="paragraph" w:styleId="15">
    <w:name w:val="table of authorities"/>
    <w:basedOn w:val="1"/>
    <w:next w:val="1"/>
    <w:qFormat/>
    <w:uiPriority w:val="99"/>
    <w:pPr>
      <w:widowControl/>
      <w:suppressAutoHyphens/>
      <w:autoSpaceDE/>
      <w:autoSpaceDN/>
      <w:spacing w:after="200" w:line="276" w:lineRule="auto"/>
      <w:ind w:left="420"/>
    </w:pPr>
    <w:rPr>
      <w:rFonts w:ascii="Times New Roman" w:hAnsi="Times New Roman" w:cs="Times New Roman"/>
      <w:kern w:val="1"/>
      <w:szCs w:val="24"/>
      <w:lang w:val="en-US"/>
    </w:rPr>
  </w:style>
  <w:style w:type="paragraph" w:styleId="16">
    <w:name w:val="Document Map"/>
    <w:basedOn w:val="1"/>
    <w:link w:val="68"/>
    <w:qFormat/>
    <w:uiPriority w:val="0"/>
    <w:pPr>
      <w:shd w:val="clear" w:color="auto" w:fill="000080"/>
    </w:pPr>
    <w:rPr>
      <w:szCs w:val="24"/>
      <w:shd w:val="clear" w:color="auto" w:fill="000080"/>
    </w:rPr>
  </w:style>
  <w:style w:type="paragraph" w:styleId="17">
    <w:name w:val="annotation text"/>
    <w:basedOn w:val="1"/>
    <w:link w:val="82"/>
    <w:qFormat/>
    <w:uiPriority w:val="0"/>
    <w:pPr>
      <w:jc w:val="left"/>
    </w:pPr>
  </w:style>
  <w:style w:type="paragraph" w:styleId="18">
    <w:name w:val="Body Text 3"/>
    <w:basedOn w:val="1"/>
    <w:link w:val="113"/>
    <w:qFormat/>
    <w:uiPriority w:val="0"/>
    <w:rPr>
      <w:rFonts w:ascii="宋体"/>
      <w:sz w:val="24"/>
    </w:rPr>
  </w:style>
  <w:style w:type="paragraph" w:styleId="19">
    <w:name w:val="Body Text Indent"/>
    <w:basedOn w:val="1"/>
    <w:link w:val="117"/>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20">
    <w:name w:val="index 4"/>
    <w:basedOn w:val="1"/>
    <w:next w:val="1"/>
    <w:qFormat/>
    <w:uiPriority w:val="0"/>
    <w:pPr>
      <w:ind w:left="600" w:leftChars="600"/>
    </w:pPr>
    <w:rPr>
      <w:szCs w:val="24"/>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0"/>
    <w:pPr>
      <w:spacing w:beforeLines="50" w:afterLines="50"/>
      <w:ind w:left="420"/>
      <w:jc w:val="left"/>
    </w:pPr>
    <w:rPr>
      <w:iCs/>
    </w:rPr>
  </w:style>
  <w:style w:type="paragraph" w:styleId="23">
    <w:name w:val="Plain Text"/>
    <w:basedOn w:val="1"/>
    <w:link w:val="72"/>
    <w:qFormat/>
    <w:uiPriority w:val="0"/>
    <w:rPr>
      <w:rFonts w:ascii="宋体" w:hAnsi="Courier New"/>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93"/>
    <w:qFormat/>
    <w:uiPriority w:val="0"/>
    <w:rPr>
      <w:sz w:val="24"/>
    </w:rPr>
  </w:style>
  <w:style w:type="paragraph" w:styleId="26">
    <w:name w:val="Body Text Indent 2"/>
    <w:basedOn w:val="1"/>
    <w:link w:val="69"/>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rPr>
  </w:style>
  <w:style w:type="paragraph" w:styleId="27">
    <w:name w:val="Balloon Text"/>
    <w:basedOn w:val="1"/>
    <w:link w:val="95"/>
    <w:qFormat/>
    <w:uiPriority w:val="0"/>
    <w:rPr>
      <w:sz w:val="18"/>
      <w:szCs w:val="18"/>
    </w:rPr>
  </w:style>
  <w:style w:type="paragraph" w:styleId="28">
    <w:name w:val="footer"/>
    <w:basedOn w:val="1"/>
    <w:link w:val="71"/>
    <w:qFormat/>
    <w:uiPriority w:val="99"/>
    <w:pPr>
      <w:tabs>
        <w:tab w:val="center" w:pos="4153"/>
        <w:tab w:val="right" w:pos="8306"/>
      </w:tabs>
      <w:snapToGrid w:val="0"/>
      <w:jc w:val="left"/>
    </w:pPr>
    <w:rPr>
      <w:sz w:val="18"/>
    </w:rPr>
  </w:style>
  <w:style w:type="paragraph" w:styleId="29">
    <w:name w:val="header"/>
    <w:basedOn w:val="1"/>
    <w:link w:val="9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0">
    <w:name w:val="toc 1"/>
    <w:basedOn w:val="1"/>
    <w:next w:val="1"/>
    <w:qFormat/>
    <w:uiPriority w:val="0"/>
    <w:pPr>
      <w:tabs>
        <w:tab w:val="right" w:leader="dot" w:pos="9878"/>
      </w:tabs>
      <w:spacing w:before="120" w:after="120" w:line="380" w:lineRule="exact"/>
      <w:jc w:val="distribute"/>
    </w:pPr>
    <w:rPr>
      <w:rFonts w:ascii="宋体" w:hAnsi="宋体"/>
      <w:b/>
      <w:bCs/>
      <w:caps/>
      <w:szCs w:val="21"/>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102"/>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35">
    <w:name w:val="table of figures"/>
    <w:basedOn w:val="1"/>
    <w:next w:val="1"/>
    <w:unhideWhenUsed/>
    <w:qFormat/>
    <w:uiPriority w:val="99"/>
    <w:pPr>
      <w:ind w:left="200" w:leftChars="200" w:hanging="200" w:hangingChars="200"/>
    </w:pPr>
  </w:style>
  <w:style w:type="paragraph" w:styleId="36">
    <w:name w:val="toc 2"/>
    <w:basedOn w:val="1"/>
    <w:next w:val="1"/>
    <w:qFormat/>
    <w:uiPriority w:val="0"/>
    <w:pPr>
      <w:tabs>
        <w:tab w:val="right" w:leader="dot" w:pos="9878"/>
      </w:tabs>
      <w:spacing w:beforeLines="50" w:afterLines="50" w:line="400" w:lineRule="exact"/>
      <w:ind w:left="210"/>
      <w:jc w:val="left"/>
    </w:pPr>
    <w:rPr>
      <w:rFonts w:ascii="宋体" w:hAnsi="宋体"/>
      <w:smallCaps/>
      <w:color w:val="000000"/>
    </w:rPr>
  </w:style>
  <w:style w:type="paragraph" w:styleId="37">
    <w:name w:val="toc 9"/>
    <w:basedOn w:val="1"/>
    <w:next w:val="1"/>
    <w:qFormat/>
    <w:uiPriority w:val="0"/>
    <w:pPr>
      <w:ind w:left="1680"/>
      <w:jc w:val="left"/>
    </w:pPr>
    <w:rPr>
      <w:sz w:val="18"/>
      <w:szCs w:val="18"/>
    </w:rPr>
  </w:style>
  <w:style w:type="paragraph" w:styleId="38">
    <w:name w:val="Body Text 2"/>
    <w:basedOn w:val="1"/>
    <w:link w:val="111"/>
    <w:qFormat/>
    <w:uiPriority w:val="0"/>
    <w:pPr>
      <w:spacing w:after="120" w:line="480" w:lineRule="auto"/>
    </w:pPr>
    <w:rPr>
      <w:szCs w:val="24"/>
    </w:rPr>
  </w:style>
  <w:style w:type="paragraph" w:styleId="39">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link w:val="89"/>
    <w:qFormat/>
    <w:uiPriority w:val="0"/>
    <w:pPr>
      <w:tabs>
        <w:tab w:val="left" w:pos="284"/>
      </w:tabs>
      <w:spacing w:before="240" w:after="60"/>
      <w:ind w:firstLine="567"/>
      <w:jc w:val="center"/>
      <w:outlineLvl w:val="0"/>
    </w:pPr>
    <w:rPr>
      <w:rFonts w:ascii="Arial" w:hAnsi="Arial" w:eastAsia="Times New Roman"/>
      <w:b/>
      <w:bCs/>
      <w:sz w:val="32"/>
      <w:szCs w:val="32"/>
    </w:rPr>
  </w:style>
  <w:style w:type="paragraph" w:styleId="42">
    <w:name w:val="annotation subject"/>
    <w:basedOn w:val="17"/>
    <w:next w:val="17"/>
    <w:link w:val="118"/>
    <w:qFormat/>
    <w:uiPriority w:val="0"/>
    <w:rPr>
      <w:b/>
      <w:bCs/>
    </w:rPr>
  </w:style>
  <w:style w:type="paragraph" w:styleId="43">
    <w:name w:val="Body Text First Indent"/>
    <w:basedOn w:val="1"/>
    <w:next w:val="44"/>
    <w:link w:val="220"/>
    <w:unhideWhenUsed/>
    <w:qFormat/>
    <w:uiPriority w:val="99"/>
    <w:pPr>
      <w:ind w:firstLine="420" w:firstLineChars="100"/>
    </w:pPr>
  </w:style>
  <w:style w:type="paragraph" w:styleId="44">
    <w:name w:val="Body Text First Indent 2"/>
    <w:basedOn w:val="19"/>
    <w:next w:val="5"/>
    <w:qFormat/>
    <w:uiPriority w:val="0"/>
    <w:pPr>
      <w:widowControl w:val="0"/>
      <w:autoSpaceDE/>
      <w:autoSpaceDN/>
      <w:adjustRightInd/>
      <w:spacing w:after="120" w:line="240" w:lineRule="auto"/>
      <w:ind w:left="200" w:leftChars="200" w:firstLine="420" w:firstLineChars="200"/>
    </w:pPr>
    <w:rPr>
      <w:rFonts w:hAnsi="Times New Roman"/>
      <w:sz w:val="21"/>
      <w:szCs w:val="24"/>
    </w:rPr>
  </w:style>
  <w:style w:type="table" w:styleId="46">
    <w:name w:val="Table Grid"/>
    <w:basedOn w:val="4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99"/>
    <w:rPr>
      <w:color w:val="800080"/>
      <w:u w:val="single"/>
    </w:rPr>
  </w:style>
  <w:style w:type="character" w:styleId="51">
    <w:name w:val="Emphasis"/>
    <w:qFormat/>
    <w:uiPriority w:val="0"/>
    <w:rPr>
      <w:rFonts w:ascii="Calibri" w:hAnsi="Calibri"/>
      <w:b/>
      <w:i/>
      <w:iCs/>
    </w:rPr>
  </w:style>
  <w:style w:type="character" w:styleId="52">
    <w:name w:val="line number"/>
    <w:unhideWhenUsed/>
    <w:qFormat/>
    <w:uiPriority w:val="0"/>
  </w:style>
  <w:style w:type="character" w:styleId="53">
    <w:name w:val="Hyperlink"/>
    <w:qFormat/>
    <w:uiPriority w:val="0"/>
    <w:rPr>
      <w:color w:val="0000FF"/>
      <w:sz w:val="18"/>
      <w:szCs w:val="18"/>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正文部分 Char Char Char"/>
    <w:next w:val="1"/>
    <w:qFormat/>
    <w:uiPriority w:val="0"/>
    <w:pPr>
      <w:widowControl w:val="0"/>
      <w:adjustRightInd w:val="0"/>
      <w:snapToGrid w:val="0"/>
      <w:spacing w:line="460" w:lineRule="exact"/>
      <w:ind w:firstLine="200" w:firstLineChars="200"/>
      <w:jc w:val="both"/>
      <w:textAlignment w:val="baseline"/>
    </w:pPr>
    <w:rPr>
      <w:rFonts w:ascii="宋体" w:hAnsi="Times New Roman" w:eastAsia="宋体" w:cs="Times New Roman"/>
      <w:kern w:val="2"/>
      <w:sz w:val="24"/>
      <w:szCs w:val="24"/>
      <w:lang w:val="en-US" w:eastAsia="zh-CN" w:bidi="ar-SA"/>
    </w:rPr>
  </w:style>
  <w:style w:type="paragraph" w:customStyle="1" w:styleId="57">
    <w:name w:val="BodyText1I"/>
    <w:basedOn w:val="58"/>
    <w:next w:val="59"/>
    <w:autoRedefine/>
    <w:qFormat/>
    <w:uiPriority w:val="0"/>
    <w:pPr>
      <w:spacing w:before="156" w:after="156" w:line="360" w:lineRule="auto"/>
      <w:ind w:firstLine="420" w:firstLineChars="100"/>
      <w:jc w:val="both"/>
      <w:textAlignment w:val="auto"/>
    </w:pPr>
    <w:rPr>
      <w:rFonts w:ascii="宋体"/>
      <w:kern w:val="2"/>
      <w:sz w:val="24"/>
      <w:szCs w:val="24"/>
      <w:lang w:val="en-US" w:eastAsia="zh-CN" w:bidi="ar-SA"/>
    </w:rPr>
  </w:style>
  <w:style w:type="paragraph" w:customStyle="1" w:styleId="58">
    <w:name w:val="BodyText"/>
    <w:basedOn w:val="1"/>
    <w:next w:val="25"/>
    <w:qFormat/>
    <w:uiPriority w:val="0"/>
    <w:pPr>
      <w:spacing w:line="360" w:lineRule="atLeast"/>
      <w:jc w:val="center"/>
      <w:textAlignment w:val="baseline"/>
    </w:pPr>
    <w:rPr>
      <w:kern w:val="0"/>
      <w:sz w:val="24"/>
      <w:szCs w:val="22"/>
      <w:lang w:val="en-US" w:eastAsia="zh-CN" w:bidi="ar-SA"/>
    </w:rPr>
  </w:style>
  <w:style w:type="paragraph" w:customStyle="1" w:styleId="59">
    <w:name w:val="BodyText1I2"/>
    <w:basedOn w:val="60"/>
    <w:next w:val="58"/>
    <w:autoRedefine/>
    <w:qFormat/>
    <w:uiPriority w:val="0"/>
    <w:pPr>
      <w:spacing w:line="312" w:lineRule="atLeast"/>
      <w:ind w:left="719" w:leftChars="115" w:firstLine="420" w:firstLineChars="200"/>
      <w:jc w:val="both"/>
      <w:textAlignment w:val="baseline"/>
    </w:pPr>
  </w:style>
  <w:style w:type="paragraph" w:customStyle="1" w:styleId="60">
    <w:name w:val="BodyTextIndent"/>
    <w:basedOn w:val="1"/>
    <w:qFormat/>
    <w:uiPriority w:val="0"/>
    <w:pPr>
      <w:spacing w:line="312" w:lineRule="atLeast"/>
      <w:ind w:left="719" w:leftChars="115" w:hanging="478" w:hangingChars="199"/>
      <w:jc w:val="both"/>
      <w:textAlignment w:val="baseline"/>
    </w:pPr>
    <w:rPr>
      <w:rFonts w:ascii="黑体" w:eastAsia="黑体"/>
      <w:sz w:val="24"/>
      <w:lang w:val="en-US" w:eastAsia="zh-CN" w:bidi="ar-SA"/>
    </w:rPr>
  </w:style>
  <w:style w:type="paragraph" w:customStyle="1" w:styleId="6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首行缩进1"/>
    <w:basedOn w:val="5"/>
    <w:next w:val="63"/>
    <w:qFormat/>
    <w:uiPriority w:val="0"/>
    <w:pPr>
      <w:ind w:firstLine="420"/>
    </w:pPr>
  </w:style>
  <w:style w:type="paragraph" w:customStyle="1" w:styleId="63">
    <w:name w:val="正文首行缩进 21"/>
    <w:qFormat/>
    <w:uiPriority w:val="0"/>
    <w:pPr>
      <w:widowControl w:val="0"/>
      <w:spacing w:after="120"/>
      <w:ind w:left="420" w:firstLine="420"/>
      <w:jc w:val="both"/>
    </w:pPr>
    <w:rPr>
      <w:rFonts w:ascii="Calibri" w:hAnsi="Calibri" w:eastAsia="宋体" w:cs="Calibri"/>
      <w:color w:val="000000"/>
      <w:sz w:val="21"/>
      <w:szCs w:val="22"/>
      <w:lang w:val="en-US" w:eastAsia="zh-CN" w:bidi="ar-SA"/>
    </w:rPr>
  </w:style>
  <w:style w:type="paragraph" w:customStyle="1" w:styleId="64">
    <w:name w:val="UserStyle_0"/>
    <w:basedOn w:val="65"/>
    <w:next w:val="1"/>
    <w:qFormat/>
    <w:uiPriority w:val="0"/>
    <w:pPr>
      <w:keepNext/>
      <w:keepLines/>
      <w:spacing w:before="720" w:after="400" w:line="540" w:lineRule="atLeast"/>
      <w:ind w:right="2160" w:firstLine="200" w:firstLineChars="200"/>
      <w:jc w:val="both"/>
      <w:textAlignment w:val="baseline"/>
    </w:pPr>
    <w:rPr>
      <w:rFonts w:ascii="Times New Roman" w:hAnsi="Times New Roman"/>
      <w:spacing w:val="-40"/>
      <w:kern w:val="28"/>
      <w:sz w:val="60"/>
      <w:szCs w:val="20"/>
      <w:lang w:val="en-US" w:eastAsia="zh-CN" w:bidi="ar-SA"/>
    </w:rPr>
  </w:style>
  <w:style w:type="paragraph" w:customStyle="1" w:styleId="65">
    <w:name w:val="UserStyle_1"/>
    <w:basedOn w:val="66"/>
    <w:next w:val="58"/>
    <w:qFormat/>
    <w:uiPriority w:val="0"/>
    <w:pPr>
      <w:keepNext/>
      <w:keepLines/>
      <w:spacing w:before="140" w:after="120" w:line="240" w:lineRule="atLeast"/>
      <w:ind w:firstLine="200" w:firstLineChars="200"/>
      <w:jc w:val="both"/>
      <w:textAlignment w:val="baseline"/>
    </w:pPr>
    <w:rPr>
      <w:rFonts w:ascii="Arial" w:hAnsi="Arial"/>
      <w:spacing w:val="-4"/>
      <w:kern w:val="28"/>
      <w:sz w:val="22"/>
      <w:szCs w:val="20"/>
      <w:lang w:val="en-US" w:eastAsia="zh-CN" w:bidi="ar-SA"/>
    </w:rPr>
  </w:style>
  <w:style w:type="paragraph" w:customStyle="1" w:styleId="66">
    <w:name w:val="UserStyle_2"/>
    <w:basedOn w:val="1"/>
    <w:qFormat/>
    <w:uiPriority w:val="0"/>
    <w:pPr>
      <w:spacing w:after="120"/>
      <w:ind w:firstLine="200" w:firstLineChars="200"/>
      <w:jc w:val="both"/>
      <w:textAlignment w:val="baseline"/>
    </w:pPr>
    <w:rPr>
      <w:rFonts w:ascii="宋体" w:hAnsi="宋体"/>
      <w:kern w:val="2"/>
      <w:sz w:val="21"/>
      <w:szCs w:val="20"/>
      <w:lang w:val="en-US" w:eastAsia="zh-CN" w:bidi="ar-SA"/>
    </w:rPr>
  </w:style>
  <w:style w:type="paragraph" w:customStyle="1" w:styleId="67">
    <w:name w:val="_Style 3"/>
    <w:basedOn w:val="2"/>
    <w:next w:val="1"/>
    <w:qFormat/>
    <w:uiPriority w:val="0"/>
    <w:pPr>
      <w:outlineLvl w:val="9"/>
    </w:pPr>
    <w:rPr>
      <w:rFonts w:ascii="Times New Roman"/>
    </w:rPr>
  </w:style>
  <w:style w:type="character" w:customStyle="1" w:styleId="68">
    <w:name w:val="文档结构图 字符"/>
    <w:link w:val="16"/>
    <w:qFormat/>
    <w:uiPriority w:val="0"/>
    <w:rPr>
      <w:kern w:val="2"/>
      <w:sz w:val="21"/>
      <w:szCs w:val="24"/>
      <w:shd w:val="clear" w:color="auto" w:fill="000080"/>
    </w:rPr>
  </w:style>
  <w:style w:type="character" w:customStyle="1" w:styleId="69">
    <w:name w:val="正文文本缩进 2 字符"/>
    <w:link w:val="26"/>
    <w:qFormat/>
    <w:uiPriority w:val="0"/>
    <w:rPr>
      <w:rFonts w:ascii="宋体" w:hAnsi="MS Sans Serif"/>
      <w:spacing w:val="12"/>
      <w:sz w:val="24"/>
    </w:rPr>
  </w:style>
  <w:style w:type="character" w:customStyle="1" w:styleId="70">
    <w:name w:val="标题 7 字符"/>
    <w:link w:val="11"/>
    <w:qFormat/>
    <w:uiPriority w:val="0"/>
    <w:rPr>
      <w:b/>
      <w:bCs/>
      <w:kern w:val="2"/>
      <w:sz w:val="24"/>
      <w:szCs w:val="24"/>
    </w:rPr>
  </w:style>
  <w:style w:type="character" w:customStyle="1" w:styleId="71">
    <w:name w:val="页脚 字符"/>
    <w:link w:val="28"/>
    <w:qFormat/>
    <w:uiPriority w:val="99"/>
    <w:rPr>
      <w:kern w:val="2"/>
      <w:sz w:val="18"/>
    </w:rPr>
  </w:style>
  <w:style w:type="character" w:customStyle="1" w:styleId="72">
    <w:name w:val="纯文本 字符"/>
    <w:link w:val="23"/>
    <w:qFormat/>
    <w:uiPriority w:val="0"/>
    <w:rPr>
      <w:rFonts w:ascii="宋体" w:hAnsi="Courier New"/>
      <w:kern w:val="2"/>
      <w:sz w:val="21"/>
    </w:rPr>
  </w:style>
  <w:style w:type="character" w:customStyle="1" w:styleId="73">
    <w:name w:val="标题 8 字符"/>
    <w:link w:val="12"/>
    <w:qFormat/>
    <w:uiPriority w:val="0"/>
    <w:rPr>
      <w:rFonts w:ascii="Arial" w:hAnsi="Arial" w:eastAsia="黑体"/>
      <w:kern w:val="2"/>
      <w:sz w:val="24"/>
      <w:szCs w:val="24"/>
    </w:rPr>
  </w:style>
  <w:style w:type="character" w:customStyle="1" w:styleId="74">
    <w:name w:val="正文文本缩进 2 Char1"/>
    <w:qFormat/>
    <w:uiPriority w:val="0"/>
    <w:rPr>
      <w:kern w:val="2"/>
      <w:sz w:val="21"/>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4"/>
    <w:link w:val="75"/>
    <w:qFormat/>
    <w:uiPriority w:val="0"/>
    <w:pPr>
      <w:widowControl w:val="0"/>
      <w:tabs>
        <w:tab w:val="clear" w:pos="720"/>
      </w:tabs>
      <w:spacing w:before="260" w:after="260" w:line="413" w:lineRule="auto"/>
      <w:ind w:left="0" w:firstLine="0"/>
      <w:jc w:val="both"/>
    </w:pPr>
    <w:rPr>
      <w:rFonts w:ascii="Arial" w:hAnsi="Arial"/>
      <w:bCs/>
      <w:kern w:val="0"/>
      <w:sz w:val="24"/>
      <w:szCs w:val="32"/>
    </w:rPr>
  </w:style>
  <w:style w:type="character" w:customStyle="1" w:styleId="77">
    <w:name w:val="标题 9 字符"/>
    <w:link w:val="13"/>
    <w:qFormat/>
    <w:uiPriority w:val="0"/>
    <w:rPr>
      <w:rFonts w:ascii="Arial" w:hAnsi="Arial" w:eastAsia="黑体"/>
      <w:kern w:val="2"/>
      <w:sz w:val="21"/>
      <w:szCs w:val="21"/>
    </w:rPr>
  </w:style>
  <w:style w:type="character" w:customStyle="1" w:styleId="78">
    <w:name w:val="标题 Char1"/>
    <w:qFormat/>
    <w:uiPriority w:val="10"/>
    <w:rPr>
      <w:rFonts w:ascii="Cambria" w:hAnsi="Cambria" w:cs="Times New Roman"/>
      <w:b/>
      <w:bCs/>
      <w:kern w:val="2"/>
      <w:sz w:val="32"/>
      <w:szCs w:val="32"/>
    </w:rPr>
  </w:style>
  <w:style w:type="character" w:customStyle="1" w:styleId="79">
    <w:name w:val="正文文本 3 Char1"/>
    <w:qFormat/>
    <w:uiPriority w:val="0"/>
    <w:rPr>
      <w:kern w:val="2"/>
      <w:sz w:val="16"/>
      <w:szCs w:val="16"/>
    </w:rPr>
  </w:style>
  <w:style w:type="character" w:customStyle="1" w:styleId="80">
    <w:name w:val="textcontents"/>
    <w:qFormat/>
    <w:uiPriority w:val="0"/>
  </w:style>
  <w:style w:type="character" w:customStyle="1" w:styleId="81">
    <w:name w:val="标题 5 字符"/>
    <w:link w:val="9"/>
    <w:qFormat/>
    <w:uiPriority w:val="0"/>
    <w:rPr>
      <w:rFonts w:ascii="宋体" w:hAnsi="宋体"/>
      <w:b/>
      <w:sz w:val="24"/>
    </w:rPr>
  </w:style>
  <w:style w:type="character" w:customStyle="1" w:styleId="82">
    <w:name w:val="批注文字 字符"/>
    <w:link w:val="17"/>
    <w:qFormat/>
    <w:uiPriority w:val="0"/>
    <w:rPr>
      <w:kern w:val="2"/>
      <w:sz w:val="21"/>
    </w:rPr>
  </w:style>
  <w:style w:type="character" w:customStyle="1" w:styleId="83">
    <w:name w:val="明显引用 Char1"/>
    <w:qFormat/>
    <w:uiPriority w:val="30"/>
    <w:rPr>
      <w:b/>
      <w:bCs/>
      <w:i/>
      <w:iCs/>
      <w:color w:val="4F81BD"/>
      <w:kern w:val="2"/>
      <w:sz w:val="21"/>
    </w:rPr>
  </w:style>
  <w:style w:type="character" w:customStyle="1" w:styleId="84">
    <w:name w:val="引用 字符"/>
    <w:link w:val="85"/>
    <w:qFormat/>
    <w:uiPriority w:val="0"/>
    <w:rPr>
      <w:i/>
      <w:iCs/>
      <w:color w:val="000000"/>
      <w:kern w:val="2"/>
      <w:sz w:val="21"/>
      <w:szCs w:val="22"/>
    </w:rPr>
  </w:style>
  <w:style w:type="paragraph" w:styleId="85">
    <w:name w:val="Quote"/>
    <w:basedOn w:val="1"/>
    <w:next w:val="1"/>
    <w:link w:val="84"/>
    <w:qFormat/>
    <w:uiPriority w:val="0"/>
    <w:rPr>
      <w:i/>
      <w:iCs/>
      <w:color w:val="000000"/>
      <w:szCs w:val="22"/>
    </w:rPr>
  </w:style>
  <w:style w:type="character" w:customStyle="1" w:styleId="86">
    <w:name w:val="标题 6 字符"/>
    <w:link w:val="10"/>
    <w:qFormat/>
    <w:uiPriority w:val="0"/>
    <w:rPr>
      <w:rFonts w:ascii="Arial" w:hAnsi="Arial" w:eastAsia="黑体"/>
      <w:b/>
      <w:bCs/>
      <w:kern w:val="2"/>
      <w:sz w:val="24"/>
      <w:szCs w:val="24"/>
    </w:rPr>
  </w:style>
  <w:style w:type="character" w:customStyle="1" w:styleId="87">
    <w:name w:val="副标题 字符"/>
    <w:link w:val="32"/>
    <w:qFormat/>
    <w:uiPriority w:val="0"/>
    <w:rPr>
      <w:rFonts w:ascii="Cambria" w:hAnsi="Cambria"/>
      <w:b/>
      <w:bCs/>
      <w:kern w:val="28"/>
      <w:sz w:val="32"/>
      <w:szCs w:val="32"/>
    </w:rPr>
  </w:style>
  <w:style w:type="character" w:customStyle="1" w:styleId="88">
    <w:name w:val="Char Char16"/>
    <w:qFormat/>
    <w:uiPriority w:val="0"/>
    <w:rPr>
      <w:rFonts w:ascii="Arial" w:hAnsi="Arial" w:eastAsia="黑体"/>
      <w:b/>
      <w:bCs/>
      <w:kern w:val="2"/>
      <w:sz w:val="32"/>
      <w:szCs w:val="32"/>
      <w:lang w:val="en-US" w:eastAsia="zh-CN" w:bidi="ar-SA"/>
    </w:rPr>
  </w:style>
  <w:style w:type="character" w:customStyle="1" w:styleId="89">
    <w:name w:val="标题 字符"/>
    <w:basedOn w:val="47"/>
    <w:link w:val="41"/>
    <w:qFormat/>
    <w:uiPriority w:val="0"/>
    <w:rPr>
      <w:rFonts w:ascii="Arial" w:hAnsi="Arial" w:eastAsia="Times New Roman"/>
      <w:b/>
      <w:bCs/>
      <w:kern w:val="2"/>
      <w:sz w:val="32"/>
      <w:szCs w:val="32"/>
    </w:rPr>
  </w:style>
  <w:style w:type="character" w:customStyle="1" w:styleId="90">
    <w:name w:val="p11"/>
    <w:qFormat/>
    <w:uiPriority w:val="0"/>
    <w:rPr>
      <w:rFonts w:hint="eastAsia" w:ascii="宋体" w:hAnsi="宋体" w:eastAsia="宋体"/>
      <w:sz w:val="21"/>
      <w:szCs w:val="21"/>
    </w:rPr>
  </w:style>
  <w:style w:type="character" w:customStyle="1" w:styleId="91">
    <w:name w:val="正文文本 字符"/>
    <w:link w:val="5"/>
    <w:qFormat/>
    <w:uiPriority w:val="0"/>
    <w:rPr>
      <w:kern w:val="2"/>
      <w:sz w:val="21"/>
      <w:szCs w:val="24"/>
    </w:rPr>
  </w:style>
  <w:style w:type="character" w:customStyle="1" w:styleId="92">
    <w:name w:val="页眉 字符"/>
    <w:link w:val="29"/>
    <w:qFormat/>
    <w:uiPriority w:val="0"/>
    <w:rPr>
      <w:kern w:val="2"/>
      <w:sz w:val="18"/>
    </w:rPr>
  </w:style>
  <w:style w:type="character" w:customStyle="1" w:styleId="93">
    <w:name w:val="日期 字符"/>
    <w:link w:val="25"/>
    <w:qFormat/>
    <w:uiPriority w:val="0"/>
    <w:rPr>
      <w:rFonts w:eastAsia="宋体"/>
      <w:kern w:val="2"/>
      <w:sz w:val="24"/>
      <w:lang w:val="en-US" w:eastAsia="zh-CN" w:bidi="ar-SA"/>
    </w:rPr>
  </w:style>
  <w:style w:type="character" w:customStyle="1" w:styleId="94">
    <w:name w:val="Char Char14"/>
    <w:qFormat/>
    <w:uiPriority w:val="0"/>
    <w:rPr>
      <w:rFonts w:ascii="Arial" w:hAnsi="Arial" w:eastAsia="黑体"/>
      <w:sz w:val="28"/>
    </w:rPr>
  </w:style>
  <w:style w:type="character" w:customStyle="1" w:styleId="95">
    <w:name w:val="批注框文本 字符"/>
    <w:link w:val="27"/>
    <w:qFormat/>
    <w:uiPriority w:val="0"/>
    <w:rPr>
      <w:kern w:val="2"/>
      <w:sz w:val="18"/>
      <w:szCs w:val="18"/>
    </w:rPr>
  </w:style>
  <w:style w:type="character" w:customStyle="1" w:styleId="96">
    <w:name w:val="apple-style-span"/>
    <w:qFormat/>
    <w:uiPriority w:val="0"/>
  </w:style>
  <w:style w:type="character" w:customStyle="1" w:styleId="97">
    <w:name w:val="标题 1 Char Char"/>
    <w:qFormat/>
    <w:uiPriority w:val="0"/>
    <w:rPr>
      <w:rFonts w:ascii="黑体" w:eastAsia="黑体"/>
      <w:sz w:val="52"/>
      <w:lang w:val="en-US" w:eastAsia="zh-CN" w:bidi="ar-SA"/>
    </w:rPr>
  </w:style>
  <w:style w:type="character" w:customStyle="1" w:styleId="98">
    <w:name w:val="标题 1 字符"/>
    <w:link w:val="2"/>
    <w:qFormat/>
    <w:uiPriority w:val="0"/>
    <w:rPr>
      <w:rFonts w:ascii="黑体" w:eastAsia="黑体"/>
      <w:sz w:val="52"/>
    </w:rPr>
  </w:style>
  <w:style w:type="character" w:customStyle="1" w:styleId="99">
    <w:name w:val="副标题 Char1"/>
    <w:qFormat/>
    <w:uiPriority w:val="11"/>
    <w:rPr>
      <w:rFonts w:ascii="Cambria" w:hAnsi="Cambria" w:cs="Times New Roman"/>
      <w:b/>
      <w:bCs/>
      <w:kern w:val="28"/>
      <w:sz w:val="32"/>
      <w:szCs w:val="32"/>
    </w:rPr>
  </w:style>
  <w:style w:type="character" w:customStyle="1" w:styleId="100">
    <w:name w:val="标题4 Char Char"/>
    <w:link w:val="101"/>
    <w:qFormat/>
    <w:uiPriority w:val="0"/>
    <w:rPr>
      <w:rFonts w:ascii="Arial" w:hAnsi="Arial"/>
      <w:b/>
      <w:bCs/>
      <w:sz w:val="24"/>
      <w:szCs w:val="32"/>
    </w:rPr>
  </w:style>
  <w:style w:type="paragraph" w:customStyle="1" w:styleId="101">
    <w:name w:val="标题4"/>
    <w:basedOn w:val="3"/>
    <w:next w:val="20"/>
    <w:link w:val="100"/>
    <w:qFormat/>
    <w:uiPriority w:val="0"/>
    <w:rPr>
      <w:rFonts w:eastAsia="宋体"/>
      <w:kern w:val="0"/>
      <w:sz w:val="24"/>
    </w:rPr>
  </w:style>
  <w:style w:type="character" w:customStyle="1" w:styleId="102">
    <w:name w:val="正文文本缩进 3 字符"/>
    <w:link w:val="34"/>
    <w:qFormat/>
    <w:uiPriority w:val="0"/>
    <w:rPr>
      <w:rFonts w:ascii="宋体" w:hAnsi="MS Sans Serif"/>
      <w:color w:val="000000"/>
      <w:sz w:val="24"/>
    </w:rPr>
  </w:style>
  <w:style w:type="character" w:customStyle="1" w:styleId="103">
    <w:name w:val="Char Char15"/>
    <w:qFormat/>
    <w:uiPriority w:val="0"/>
    <w:rPr>
      <w:b/>
      <w:sz w:val="32"/>
    </w:rPr>
  </w:style>
  <w:style w:type="character" w:customStyle="1" w:styleId="104">
    <w:name w:val="正文文本缩进 Char1"/>
    <w:qFormat/>
    <w:uiPriority w:val="0"/>
    <w:rPr>
      <w:kern w:val="2"/>
      <w:sz w:val="21"/>
    </w:rPr>
  </w:style>
  <w:style w:type="character" w:customStyle="1" w:styleId="105">
    <w:name w:val="文档结构图 Char1"/>
    <w:qFormat/>
    <w:uiPriority w:val="0"/>
    <w:rPr>
      <w:rFonts w:ascii="宋体"/>
      <w:kern w:val="2"/>
      <w:sz w:val="18"/>
      <w:szCs w:val="18"/>
    </w:rPr>
  </w:style>
  <w:style w:type="character" w:customStyle="1" w:styleId="106">
    <w:name w:val="font161"/>
    <w:qFormat/>
    <w:uiPriority w:val="0"/>
    <w:rPr>
      <w:b/>
      <w:bCs/>
      <w:sz w:val="32"/>
      <w:szCs w:val="32"/>
    </w:rPr>
  </w:style>
  <w:style w:type="character" w:customStyle="1" w:styleId="107">
    <w:name w:val="标题 4 字符"/>
    <w:link w:val="7"/>
    <w:qFormat/>
    <w:uiPriority w:val="0"/>
    <w:rPr>
      <w:rFonts w:ascii="Arial" w:hAnsi="Arial" w:eastAsia="黑体"/>
      <w:kern w:val="2"/>
      <w:sz w:val="28"/>
      <w:szCs w:val="24"/>
    </w:rPr>
  </w:style>
  <w:style w:type="character" w:customStyle="1" w:styleId="108">
    <w:name w:val="Char Char13"/>
    <w:qFormat/>
    <w:uiPriority w:val="0"/>
    <w:rPr>
      <w:rFonts w:ascii="Arial" w:hAnsi="Arial" w:eastAsia="黑体"/>
      <w:b/>
      <w:bCs/>
      <w:sz w:val="24"/>
      <w:szCs w:val="24"/>
    </w:rPr>
  </w:style>
  <w:style w:type="character" w:customStyle="1" w:styleId="109">
    <w:name w:val="纯文本 Char1"/>
    <w:qFormat/>
    <w:uiPriority w:val="0"/>
    <w:rPr>
      <w:rFonts w:ascii="宋体" w:hAnsi="Courier New" w:cs="Courier New"/>
      <w:kern w:val="2"/>
      <w:sz w:val="21"/>
      <w:szCs w:val="21"/>
    </w:rPr>
  </w:style>
  <w:style w:type="character" w:customStyle="1" w:styleId="110">
    <w:name w:val="正文文本 2 Char1"/>
    <w:qFormat/>
    <w:uiPriority w:val="0"/>
    <w:rPr>
      <w:kern w:val="2"/>
      <w:sz w:val="21"/>
    </w:rPr>
  </w:style>
  <w:style w:type="character" w:customStyle="1" w:styleId="111">
    <w:name w:val="正文文本 2 字符"/>
    <w:link w:val="38"/>
    <w:qFormat/>
    <w:uiPriority w:val="0"/>
    <w:rPr>
      <w:kern w:val="2"/>
      <w:sz w:val="21"/>
      <w:szCs w:val="24"/>
    </w:rPr>
  </w:style>
  <w:style w:type="character" w:customStyle="1" w:styleId="112">
    <w:name w:val="超链接 New"/>
    <w:qFormat/>
    <w:uiPriority w:val="0"/>
    <w:rPr>
      <w:color w:val="0000FF"/>
      <w:sz w:val="18"/>
      <w:szCs w:val="18"/>
      <w:u w:val="none"/>
    </w:rPr>
  </w:style>
  <w:style w:type="character" w:customStyle="1" w:styleId="113">
    <w:name w:val="正文文本 3 字符"/>
    <w:link w:val="18"/>
    <w:qFormat/>
    <w:uiPriority w:val="0"/>
    <w:rPr>
      <w:rFonts w:ascii="宋体"/>
      <w:kern w:val="2"/>
      <w:sz w:val="24"/>
    </w:rPr>
  </w:style>
  <w:style w:type="character" w:customStyle="1" w:styleId="114">
    <w:name w:val="明显引用 字符"/>
    <w:link w:val="115"/>
    <w:qFormat/>
    <w:uiPriority w:val="0"/>
    <w:rPr>
      <w:b/>
      <w:bCs/>
      <w:i/>
      <w:iCs/>
      <w:color w:val="4F81BD"/>
      <w:kern w:val="2"/>
      <w:sz w:val="21"/>
      <w:szCs w:val="22"/>
    </w:rPr>
  </w:style>
  <w:style w:type="paragraph" w:styleId="115">
    <w:name w:val="Intense Quote"/>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正文文本缩进 3 Char1"/>
    <w:qFormat/>
    <w:uiPriority w:val="0"/>
    <w:rPr>
      <w:kern w:val="2"/>
      <w:sz w:val="16"/>
      <w:szCs w:val="16"/>
    </w:rPr>
  </w:style>
  <w:style w:type="character" w:customStyle="1" w:styleId="117">
    <w:name w:val="正文文本缩进 字符"/>
    <w:link w:val="19"/>
    <w:qFormat/>
    <w:uiPriority w:val="0"/>
    <w:rPr>
      <w:rFonts w:ascii="宋体" w:hAnsi="MS Sans Serif"/>
      <w:spacing w:val="12"/>
      <w:sz w:val="24"/>
    </w:rPr>
  </w:style>
  <w:style w:type="character" w:customStyle="1" w:styleId="118">
    <w:name w:val="批注主题 字符"/>
    <w:link w:val="42"/>
    <w:qFormat/>
    <w:uiPriority w:val="0"/>
    <w:rPr>
      <w:b/>
      <w:bCs/>
      <w:kern w:val="2"/>
      <w:sz w:val="21"/>
    </w:rPr>
  </w:style>
  <w:style w:type="character" w:customStyle="1" w:styleId="119">
    <w:name w:val="引用 Char1"/>
    <w:qFormat/>
    <w:uiPriority w:val="29"/>
    <w:rPr>
      <w:i/>
      <w:iCs/>
      <w:color w:val="000000"/>
      <w:kern w:val="2"/>
      <w:sz w:val="21"/>
    </w:rPr>
  </w:style>
  <w:style w:type="character" w:customStyle="1" w:styleId="120">
    <w:name w:val="标题 2 字符"/>
    <w:link w:val="3"/>
    <w:qFormat/>
    <w:uiPriority w:val="0"/>
    <w:rPr>
      <w:rFonts w:ascii="Arial" w:hAnsi="Arial" w:eastAsia="黑体"/>
      <w:b/>
      <w:bCs/>
      <w:kern w:val="2"/>
      <w:sz w:val="32"/>
      <w:szCs w:val="32"/>
    </w:rPr>
  </w:style>
  <w:style w:type="character" w:customStyle="1" w:styleId="121">
    <w:name w:val="标题 3 字符"/>
    <w:link w:val="4"/>
    <w:qFormat/>
    <w:uiPriority w:val="0"/>
    <w:rPr>
      <w:b/>
      <w:kern w:val="2"/>
      <w:sz w:val="32"/>
      <w:szCs w:val="24"/>
    </w:rPr>
  </w:style>
  <w:style w:type="paragraph" w:customStyle="1" w:styleId="122">
    <w:name w:val="Char"/>
    <w:basedOn w:val="1"/>
    <w:qFormat/>
    <w:uiPriority w:val="0"/>
    <w:rPr>
      <w:szCs w:val="24"/>
    </w:rPr>
  </w:style>
  <w:style w:type="paragraph" w:customStyle="1" w:styleId="123">
    <w:name w:val="Char2"/>
    <w:basedOn w:val="1"/>
    <w:qFormat/>
    <w:uiPriority w:val="0"/>
    <w:rPr>
      <w:szCs w:val="24"/>
    </w:rPr>
  </w:style>
  <w:style w:type="paragraph" w:styleId="124">
    <w:name w:val="List Paragraph"/>
    <w:basedOn w:val="1"/>
    <w:qFormat/>
    <w:uiPriority w:val="0"/>
    <w:pPr>
      <w:ind w:firstLine="420" w:firstLineChars="200"/>
    </w:pPr>
    <w:rPr>
      <w:rFonts w:ascii="Calibri" w:hAnsi="Calibri"/>
      <w:szCs w:val="22"/>
    </w:rPr>
  </w:style>
  <w:style w:type="paragraph" w:customStyle="1" w:styleId="1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6">
    <w:name w:val="TOC 标题1"/>
    <w:basedOn w:val="2"/>
    <w:next w:val="1"/>
    <w:qFormat/>
    <w:uiPriority w:val="39"/>
    <w:pPr>
      <w:keepLines/>
      <w:widowControl w:val="0"/>
      <w:tabs>
        <w:tab w:val="clear" w:pos="432"/>
      </w:tabs>
      <w:spacing w:before="340" w:after="330" w:line="578" w:lineRule="auto"/>
      <w:ind w:left="0" w:firstLine="0"/>
      <w:jc w:val="both"/>
      <w:outlineLvl w:val="9"/>
    </w:pPr>
    <w:rPr>
      <w:rFonts w:ascii="Times New Roman" w:eastAsia="宋体"/>
      <w:b/>
      <w:bCs/>
      <w:kern w:val="44"/>
      <w:sz w:val="44"/>
      <w:szCs w:val="44"/>
    </w:rPr>
  </w:style>
  <w:style w:type="paragraph" w:customStyle="1" w:styleId="127">
    <w:name w:val="正文2"/>
    <w:basedOn w:val="1"/>
    <w:qFormat/>
    <w:uiPriority w:val="0"/>
    <w:pPr>
      <w:adjustRightInd w:val="0"/>
      <w:spacing w:line="400" w:lineRule="exact"/>
      <w:textAlignment w:val="baseline"/>
    </w:pPr>
    <w:rPr>
      <w:rFonts w:ascii="黑体" w:eastAsia="黑体"/>
      <w:kern w:val="0"/>
      <w:szCs w:val="34"/>
    </w:rPr>
  </w:style>
  <w:style w:type="paragraph" w:customStyle="1" w:styleId="128">
    <w:name w:val="p0"/>
    <w:basedOn w:val="1"/>
    <w:qFormat/>
    <w:uiPriority w:val="0"/>
    <w:pPr>
      <w:widowControl/>
    </w:pPr>
    <w:rPr>
      <w:kern w:val="0"/>
      <w:szCs w:val="21"/>
    </w:rPr>
  </w:style>
  <w:style w:type="paragraph" w:customStyle="1" w:styleId="129">
    <w:name w:val="CM11"/>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30">
    <w:name w:val="Char Char Char Char"/>
    <w:basedOn w:val="1"/>
    <w:qFormat/>
    <w:uiPriority w:val="0"/>
    <w:pPr>
      <w:widowControl/>
      <w:spacing w:after="160" w:line="240" w:lineRule="exact"/>
      <w:jc w:val="left"/>
    </w:pPr>
    <w:rPr>
      <w:szCs w:val="24"/>
    </w:rPr>
  </w:style>
  <w:style w:type="paragraph" w:customStyle="1" w:styleId="131">
    <w:name w:val="CM63"/>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32">
    <w:name w:val="表头"/>
    <w:basedOn w:val="1"/>
    <w:qFormat/>
    <w:uiPriority w:val="0"/>
    <w:pPr>
      <w:autoSpaceDE w:val="0"/>
      <w:autoSpaceDN w:val="0"/>
      <w:adjustRightInd w:val="0"/>
      <w:jc w:val="center"/>
      <w:textAlignment w:val="bottom"/>
    </w:pPr>
    <w:rPr>
      <w:b/>
      <w:bCs/>
      <w:kern w:val="0"/>
      <w:sz w:val="24"/>
      <w:szCs w:val="28"/>
    </w:rPr>
  </w:style>
  <w:style w:type="paragraph" w:customStyle="1" w:styleId="133">
    <w:name w:val="样式1"/>
    <w:basedOn w:val="1"/>
    <w:qFormat/>
    <w:uiPriority w:val="0"/>
    <w:pPr>
      <w:spacing w:before="120" w:after="120" w:line="300" w:lineRule="auto"/>
    </w:pPr>
    <w:rPr>
      <w:rFonts w:ascii="宋体" w:hAnsi="宋体"/>
      <w:b/>
      <w:sz w:val="24"/>
    </w:rPr>
  </w:style>
  <w:style w:type="paragraph" w:customStyle="1" w:styleId="134">
    <w:name w:val="表格文字"/>
    <w:basedOn w:val="1"/>
    <w:qFormat/>
    <w:uiPriority w:val="0"/>
    <w:pPr>
      <w:adjustRightInd w:val="0"/>
      <w:spacing w:line="420" w:lineRule="atLeast"/>
      <w:jc w:val="left"/>
      <w:textAlignment w:val="baseline"/>
    </w:pPr>
    <w:rPr>
      <w:kern w:val="0"/>
    </w:rPr>
  </w:style>
  <w:style w:type="paragraph" w:customStyle="1" w:styleId="135">
    <w:name w:val="样式4"/>
    <w:qFormat/>
    <w:uiPriority w:val="0"/>
    <w:pPr>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136">
    <w:name w:val="样式3"/>
    <w:basedOn w:val="1"/>
    <w:qFormat/>
    <w:uiPriority w:val="0"/>
    <w:pPr>
      <w:tabs>
        <w:tab w:val="left" w:pos="987"/>
      </w:tabs>
      <w:ind w:left="987" w:hanging="420"/>
    </w:pPr>
    <w:rPr>
      <w:szCs w:val="24"/>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CM165"/>
    <w:basedOn w:val="125"/>
    <w:next w:val="125"/>
    <w:qFormat/>
    <w:uiPriority w:val="0"/>
    <w:pPr>
      <w:spacing w:after="285"/>
    </w:pPr>
    <w:rPr>
      <w:rFonts w:cs="Times New Roman"/>
      <w:color w:val="auto"/>
    </w:rPr>
  </w:style>
  <w:style w:type="paragraph" w:customStyle="1" w:styleId="139">
    <w:name w:val="表头2"/>
    <w:basedOn w:val="140"/>
    <w:qFormat/>
    <w:uiPriority w:val="0"/>
    <w:pPr>
      <w:spacing w:before="0" w:beforeAutospacing="0" w:after="0" w:afterAutospacing="0"/>
      <w:jc w:val="center"/>
    </w:pPr>
    <w:rPr>
      <w:rFonts w:ascii="宋体" w:hAnsi="宋体"/>
      <w:b/>
      <w:bCs/>
      <w:sz w:val="21"/>
      <w:szCs w:val="21"/>
    </w:rPr>
  </w:style>
  <w:style w:type="paragraph" w:customStyle="1" w:styleId="140">
    <w:name w:val="表头1"/>
    <w:basedOn w:val="1"/>
    <w:qFormat/>
    <w:uiPriority w:val="0"/>
    <w:pPr>
      <w:autoSpaceDE w:val="0"/>
      <w:autoSpaceDN w:val="0"/>
      <w:adjustRightInd w:val="0"/>
      <w:spacing w:before="100" w:beforeAutospacing="1" w:after="100" w:afterAutospacing="1"/>
      <w:jc w:val="right"/>
      <w:textAlignment w:val="bottom"/>
    </w:pPr>
    <w:rPr>
      <w:kern w:val="0"/>
      <w:sz w:val="24"/>
      <w:szCs w:val="24"/>
    </w:rPr>
  </w:style>
  <w:style w:type="paragraph" w:customStyle="1" w:styleId="141">
    <w:name w:val="CM185"/>
    <w:basedOn w:val="125"/>
    <w:next w:val="125"/>
    <w:qFormat/>
    <w:uiPriority w:val="0"/>
    <w:pPr>
      <w:spacing w:after="853"/>
    </w:pPr>
    <w:rPr>
      <w:rFonts w:cs="Times New Roman"/>
      <w:color w:val="auto"/>
    </w:rPr>
  </w:style>
  <w:style w:type="paragraph" w:customStyle="1" w:styleId="142">
    <w:name w:val="CM20"/>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43">
    <w:name w:val="标号"/>
    <w:basedOn w:val="132"/>
    <w:qFormat/>
    <w:uiPriority w:val="0"/>
    <w:pPr>
      <w:outlineLvl w:val="0"/>
    </w:pPr>
    <w:rPr>
      <w:rFonts w:ascii="黑体" w:eastAsia="黑体"/>
      <w:bCs w:val="0"/>
      <w:sz w:val="28"/>
    </w:rPr>
  </w:style>
  <w:style w:type="paragraph" w:customStyle="1" w:styleId="144">
    <w:name w:val="CM38"/>
    <w:basedOn w:val="125"/>
    <w:next w:val="125"/>
    <w:qFormat/>
    <w:uiPriority w:val="0"/>
    <w:pPr>
      <w:spacing w:line="468" w:lineRule="atLeast"/>
    </w:pPr>
    <w:rPr>
      <w:rFonts w:cs="Times New Roman"/>
      <w:color w:val="auto"/>
    </w:rPr>
  </w:style>
  <w:style w:type="paragraph" w:customStyle="1" w:styleId="145">
    <w:name w:val="标题1 + 小四"/>
    <w:basedOn w:val="4"/>
    <w:qFormat/>
    <w:uiPriority w:val="0"/>
    <w:pPr>
      <w:spacing w:beforeLines="50" w:afterLines="50" w:line="500" w:lineRule="exact"/>
      <w:ind w:left="0" w:firstLine="559" w:firstLineChars="174"/>
      <w:jc w:val="left"/>
    </w:pPr>
    <w:rPr>
      <w:color w:val="000000"/>
      <w:sz w:val="24"/>
    </w:rPr>
  </w:style>
  <w:style w:type="paragraph" w:customStyle="1" w:styleId="146">
    <w:name w:val="Char1"/>
    <w:basedOn w:val="1"/>
    <w:qFormat/>
    <w:uiPriority w:val="0"/>
    <w:rPr>
      <w:rFonts w:ascii="仿宋_GB2312" w:eastAsia="仿宋_GB2312"/>
      <w:b/>
      <w:sz w:val="32"/>
      <w:szCs w:val="32"/>
    </w:rPr>
  </w:style>
  <w:style w:type="paragraph" w:customStyle="1" w:styleId="147">
    <w:name w:val="CM103"/>
    <w:basedOn w:val="125"/>
    <w:next w:val="125"/>
    <w:qFormat/>
    <w:uiPriority w:val="0"/>
    <w:pPr>
      <w:spacing w:line="468" w:lineRule="atLeast"/>
    </w:pPr>
    <w:rPr>
      <w:rFonts w:cs="Times New Roman"/>
      <w:color w:val="auto"/>
    </w:rPr>
  </w:style>
  <w:style w:type="paragraph" w:customStyle="1" w:styleId="148">
    <w:name w:val="标题 1 + 黑体"/>
    <w:basedOn w:val="1"/>
    <w:qFormat/>
    <w:uiPriority w:val="0"/>
    <w:pPr>
      <w:jc w:val="center"/>
    </w:pPr>
    <w:rPr>
      <w:rFonts w:ascii="黑体" w:eastAsia="黑体"/>
      <w:sz w:val="44"/>
      <w:szCs w:val="44"/>
    </w:rPr>
  </w:style>
  <w:style w:type="paragraph" w:customStyle="1" w:styleId="149">
    <w:name w:val="CM141"/>
    <w:basedOn w:val="125"/>
    <w:next w:val="125"/>
    <w:qFormat/>
    <w:uiPriority w:val="0"/>
    <w:pPr>
      <w:spacing w:line="468" w:lineRule="atLeast"/>
    </w:pPr>
    <w:rPr>
      <w:rFonts w:cs="Times New Roman"/>
      <w:color w:val="auto"/>
    </w:rPr>
  </w:style>
  <w:style w:type="paragraph" w:customStyle="1" w:styleId="150">
    <w:name w:val="CM27"/>
    <w:basedOn w:val="125"/>
    <w:next w:val="125"/>
    <w:qFormat/>
    <w:uiPriority w:val="0"/>
    <w:rPr>
      <w:rFonts w:cs="Times New Roman"/>
      <w:color w:val="auto"/>
    </w:rPr>
  </w:style>
  <w:style w:type="paragraph" w:customStyle="1" w:styleId="151">
    <w:name w:val="CM10"/>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52">
    <w:name w:val="CM149"/>
    <w:basedOn w:val="125"/>
    <w:next w:val="125"/>
    <w:qFormat/>
    <w:uiPriority w:val="0"/>
    <w:pPr>
      <w:spacing w:line="468" w:lineRule="atLeast"/>
    </w:pPr>
    <w:rPr>
      <w:rFonts w:cs="Times New Roman"/>
      <w:color w:val="auto"/>
    </w:rPr>
  </w:style>
  <w:style w:type="paragraph" w:customStyle="1" w:styleId="153">
    <w:name w:val="CM67"/>
    <w:basedOn w:val="1"/>
    <w:next w:val="1"/>
    <w:qFormat/>
    <w:uiPriority w:val="0"/>
    <w:pPr>
      <w:autoSpaceDE w:val="0"/>
      <w:autoSpaceDN w:val="0"/>
      <w:adjustRightInd w:val="0"/>
      <w:jc w:val="left"/>
    </w:pPr>
    <w:rPr>
      <w:rFonts w:ascii="黑体" w:eastAsia="黑体"/>
      <w:kern w:val="0"/>
      <w:sz w:val="24"/>
      <w:szCs w:val="24"/>
    </w:rPr>
  </w:style>
  <w:style w:type="paragraph" w:customStyle="1" w:styleId="154">
    <w:name w:val="CM49"/>
    <w:basedOn w:val="125"/>
    <w:next w:val="125"/>
    <w:qFormat/>
    <w:uiPriority w:val="0"/>
    <w:pPr>
      <w:spacing w:line="411" w:lineRule="atLeast"/>
    </w:pPr>
    <w:rPr>
      <w:rFonts w:cs="Times New Roman"/>
      <w:color w:val="auto"/>
    </w:rPr>
  </w:style>
  <w:style w:type="paragraph" w:customStyle="1" w:styleId="155">
    <w:name w:val="CM106"/>
    <w:basedOn w:val="125"/>
    <w:next w:val="125"/>
    <w:qFormat/>
    <w:uiPriority w:val="0"/>
    <w:pPr>
      <w:spacing w:line="468" w:lineRule="atLeast"/>
    </w:pPr>
    <w:rPr>
      <w:rFonts w:cs="Times New Roman"/>
      <w:color w:val="auto"/>
    </w:rPr>
  </w:style>
  <w:style w:type="paragraph" w:customStyle="1" w:styleId="156">
    <w:name w:val="CM148"/>
    <w:basedOn w:val="125"/>
    <w:next w:val="125"/>
    <w:qFormat/>
    <w:uiPriority w:val="0"/>
    <w:pPr>
      <w:spacing w:line="408" w:lineRule="atLeast"/>
    </w:pPr>
    <w:rPr>
      <w:rFonts w:cs="Times New Roman"/>
      <w:color w:val="auto"/>
    </w:rPr>
  </w:style>
  <w:style w:type="paragraph" w:customStyle="1" w:styleId="157">
    <w:name w:val="CM162"/>
    <w:basedOn w:val="125"/>
    <w:next w:val="125"/>
    <w:qFormat/>
    <w:uiPriority w:val="0"/>
    <w:pPr>
      <w:spacing w:after="93"/>
    </w:pPr>
    <w:rPr>
      <w:rFonts w:cs="Times New Roman"/>
      <w:color w:val="auto"/>
    </w:rPr>
  </w:style>
  <w:style w:type="paragraph" w:customStyle="1" w:styleId="158">
    <w:name w:val="Char Char 字元 字元 字元 Char Char Char Char"/>
    <w:basedOn w:val="1"/>
    <w:qFormat/>
    <w:uiPriority w:val="0"/>
    <w:pPr>
      <w:adjustRightInd w:val="0"/>
      <w:spacing w:line="360" w:lineRule="auto"/>
    </w:pPr>
    <w:rPr>
      <w:kern w:val="0"/>
      <w:sz w:val="24"/>
    </w:rPr>
  </w:style>
  <w:style w:type="paragraph" w:customStyle="1" w:styleId="159">
    <w:name w:val="CM138"/>
    <w:basedOn w:val="125"/>
    <w:next w:val="125"/>
    <w:qFormat/>
    <w:uiPriority w:val="0"/>
    <w:pPr>
      <w:spacing w:line="411" w:lineRule="atLeast"/>
    </w:pPr>
    <w:rPr>
      <w:rFonts w:cs="Times New Roman"/>
      <w:color w:val="auto"/>
    </w:rPr>
  </w:style>
  <w:style w:type="paragraph" w:customStyle="1" w:styleId="160">
    <w:name w:val="CM145"/>
    <w:basedOn w:val="125"/>
    <w:next w:val="125"/>
    <w:qFormat/>
    <w:uiPriority w:val="0"/>
    <w:pPr>
      <w:spacing w:line="408" w:lineRule="atLeast"/>
    </w:pPr>
    <w:rPr>
      <w:rFonts w:cs="Times New Roman"/>
      <w:color w:val="auto"/>
    </w:rPr>
  </w:style>
  <w:style w:type="paragraph" w:customStyle="1" w:styleId="161">
    <w:name w:val="CM140"/>
    <w:basedOn w:val="125"/>
    <w:next w:val="125"/>
    <w:qFormat/>
    <w:uiPriority w:val="0"/>
    <w:pPr>
      <w:spacing w:line="408" w:lineRule="atLeast"/>
    </w:pPr>
    <w:rPr>
      <w:rFonts w:cs="Times New Roman"/>
      <w:color w:val="auto"/>
    </w:rPr>
  </w:style>
  <w:style w:type="paragraph" w:customStyle="1" w:styleId="162">
    <w:name w:val="CM175"/>
    <w:basedOn w:val="125"/>
    <w:next w:val="125"/>
    <w:qFormat/>
    <w:uiPriority w:val="0"/>
    <w:pPr>
      <w:spacing w:after="1463"/>
    </w:pPr>
    <w:rPr>
      <w:rFonts w:cs="Times New Roman"/>
      <w:color w:val="auto"/>
    </w:rPr>
  </w:style>
  <w:style w:type="paragraph" w:customStyle="1" w:styleId="16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64">
    <w:name w:val="表号"/>
    <w:basedOn w:val="1"/>
    <w:qFormat/>
    <w:uiPriority w:val="0"/>
    <w:pPr>
      <w:autoSpaceDE w:val="0"/>
      <w:autoSpaceDN w:val="0"/>
      <w:adjustRightInd w:val="0"/>
      <w:jc w:val="center"/>
      <w:textAlignment w:val="bottom"/>
    </w:pPr>
    <w:rPr>
      <w:b/>
      <w:bCs/>
      <w:kern w:val="0"/>
      <w:sz w:val="24"/>
      <w:szCs w:val="32"/>
    </w:rPr>
  </w:style>
  <w:style w:type="paragraph" w:customStyle="1" w:styleId="165">
    <w:name w:val="CM75"/>
    <w:basedOn w:val="125"/>
    <w:next w:val="125"/>
    <w:qFormat/>
    <w:uiPriority w:val="0"/>
    <w:pPr>
      <w:spacing w:line="408" w:lineRule="atLeast"/>
    </w:pPr>
    <w:rPr>
      <w:rFonts w:cs="Times New Roman"/>
      <w:color w:val="auto"/>
    </w:rPr>
  </w:style>
  <w:style w:type="paragraph" w:customStyle="1" w:styleId="166">
    <w:name w:val="CM39"/>
    <w:basedOn w:val="125"/>
    <w:next w:val="125"/>
    <w:qFormat/>
    <w:uiPriority w:val="0"/>
    <w:pPr>
      <w:spacing w:line="468" w:lineRule="atLeast"/>
    </w:pPr>
    <w:rPr>
      <w:rFonts w:cs="Times New Roman"/>
      <w:color w:val="auto"/>
    </w:rPr>
  </w:style>
  <w:style w:type="paragraph" w:customStyle="1" w:styleId="167">
    <w:name w:val="默认段落字体 Para Char Char Char Char Char Char Char Char Char Char Char Char Char"/>
    <w:basedOn w:val="1"/>
    <w:qFormat/>
    <w:uiPriority w:val="0"/>
    <w:rPr>
      <w:szCs w:val="24"/>
    </w:rPr>
  </w:style>
  <w:style w:type="paragraph" w:customStyle="1" w:styleId="168">
    <w:name w:val="CM133"/>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69">
    <w:name w:val="样式2"/>
    <w:basedOn w:val="1"/>
    <w:qFormat/>
    <w:uiPriority w:val="0"/>
    <w:pPr>
      <w:spacing w:line="460" w:lineRule="exact"/>
      <w:ind w:right="-11" w:firstLine="482" w:firstLineChars="200"/>
    </w:pPr>
    <w:rPr>
      <w:rFonts w:ascii="宋体" w:hAnsi="宋体"/>
      <w:b/>
      <w:bCs/>
      <w:sz w:val="24"/>
      <w:szCs w:val="24"/>
    </w:rPr>
  </w:style>
  <w:style w:type="paragraph" w:customStyle="1" w:styleId="170">
    <w:name w:val="标题 1 + 一号"/>
    <w:basedOn w:val="7"/>
    <w:qFormat/>
    <w:uiPriority w:val="0"/>
    <w:pPr>
      <w:spacing w:beforeLines="50" w:after="360" w:line="500" w:lineRule="exact"/>
    </w:pPr>
    <w:rPr>
      <w:bCs/>
      <w:sz w:val="52"/>
    </w:rPr>
  </w:style>
  <w:style w:type="paragraph" w:customStyle="1" w:styleId="171">
    <w:name w:val="CM105"/>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72">
    <w:name w:val="样式 标题 1 + 黑体 三号 非加粗 居中 段前: 6 磅 段后: 6 磅 行距: 固定值 20 磅"/>
    <w:basedOn w:val="2"/>
    <w:qFormat/>
    <w:uiPriority w:val="0"/>
    <w:pPr>
      <w:keepLines/>
      <w:widowControl w:val="0"/>
      <w:spacing w:before="120" w:after="120" w:line="400" w:lineRule="exact"/>
      <w:ind w:left="0" w:firstLine="0"/>
    </w:pPr>
    <w:rPr>
      <w:rFonts w:hAnsi="黑体" w:cs="宋体"/>
      <w:kern w:val="44"/>
      <w:sz w:val="32"/>
    </w:rPr>
  </w:style>
  <w:style w:type="paragraph" w:customStyle="1" w:styleId="173">
    <w:name w:val="CM161"/>
    <w:basedOn w:val="125"/>
    <w:next w:val="125"/>
    <w:qFormat/>
    <w:uiPriority w:val="0"/>
    <w:pPr>
      <w:spacing w:after="668"/>
    </w:pPr>
    <w:rPr>
      <w:rFonts w:cs="Times New Roman"/>
      <w:color w:val="auto"/>
    </w:rPr>
  </w:style>
  <w:style w:type="paragraph" w:customStyle="1" w:styleId="174">
    <w:name w:val="Char Char Char Char Char Char Char Char Char Char"/>
    <w:basedOn w:val="16"/>
    <w:qFormat/>
    <w:uiPriority w:val="0"/>
    <w:pPr>
      <w:adjustRightInd w:val="0"/>
      <w:spacing w:line="312" w:lineRule="atLeast"/>
      <w:textAlignment w:val="baseline"/>
    </w:pPr>
    <w:rPr>
      <w:rFonts w:ascii="Tahoma" w:hAnsi="Tahoma" w:eastAsia="楷体_GB2312"/>
      <w:kern w:val="0"/>
      <w:sz w:val="24"/>
    </w:rPr>
  </w:style>
  <w:style w:type="paragraph" w:customStyle="1" w:styleId="175">
    <w:name w:val="CM167"/>
    <w:basedOn w:val="1"/>
    <w:next w:val="1"/>
    <w:qFormat/>
    <w:uiPriority w:val="0"/>
    <w:pPr>
      <w:autoSpaceDE w:val="0"/>
      <w:autoSpaceDN w:val="0"/>
      <w:adjustRightInd w:val="0"/>
      <w:spacing w:after="220"/>
      <w:jc w:val="left"/>
    </w:pPr>
    <w:rPr>
      <w:rFonts w:ascii="黑体" w:eastAsia="黑体"/>
      <w:kern w:val="0"/>
      <w:sz w:val="24"/>
      <w:szCs w:val="24"/>
    </w:rPr>
  </w:style>
  <w:style w:type="paragraph" w:customStyle="1" w:styleId="176">
    <w:name w:val="样式 标题 3 + (中文) 黑体 小四 非加粗 段前: 7.8 磅 段后: 0 磅 行距: 固定值 20 磅"/>
    <w:basedOn w:val="4"/>
    <w:next w:val="1"/>
    <w:qFormat/>
    <w:uiPriority w:val="0"/>
    <w:pPr>
      <w:widowControl w:val="0"/>
      <w:spacing w:before="0" w:after="0" w:line="400" w:lineRule="exact"/>
      <w:ind w:left="0" w:firstLine="0"/>
      <w:jc w:val="both"/>
    </w:pPr>
    <w:rPr>
      <w:rFonts w:eastAsia="黑体" w:cs="宋体"/>
      <w:b w:val="0"/>
      <w:sz w:val="24"/>
    </w:rPr>
  </w:style>
  <w:style w:type="paragraph" w:customStyle="1" w:styleId="177">
    <w:name w:val="CM9"/>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78">
    <w:name w:val="修订1"/>
    <w:qFormat/>
    <w:uiPriority w:val="0"/>
    <w:rPr>
      <w:rFonts w:ascii="Times New Roman" w:hAnsi="Times New Roman" w:eastAsia="宋体" w:cs="Times New Roman"/>
      <w:kern w:val="2"/>
      <w:sz w:val="21"/>
      <w:lang w:val="en-US" w:eastAsia="zh-CN" w:bidi="ar-SA"/>
    </w:rPr>
  </w:style>
  <w:style w:type="paragraph" w:customStyle="1" w:styleId="179">
    <w:name w:val="CM31"/>
    <w:basedOn w:val="125"/>
    <w:next w:val="125"/>
    <w:qFormat/>
    <w:uiPriority w:val="0"/>
    <w:pPr>
      <w:spacing w:line="468" w:lineRule="atLeast"/>
    </w:pPr>
    <w:rPr>
      <w:rFonts w:cs="Times New Roman"/>
      <w:color w:val="auto"/>
    </w:rPr>
  </w:style>
  <w:style w:type="paragraph" w:customStyle="1" w:styleId="180">
    <w:name w:val="1"/>
    <w:basedOn w:val="1"/>
    <w:next w:val="1"/>
    <w:qFormat/>
    <w:uiPriority w:val="0"/>
    <w:rPr>
      <w:rFonts w:eastAsia="黑体"/>
      <w:szCs w:val="24"/>
    </w:rPr>
  </w:style>
  <w:style w:type="paragraph" w:customStyle="1" w:styleId="181">
    <w:name w:val="目录"/>
    <w:basedOn w:val="1"/>
    <w:qFormat/>
    <w:uiPriority w:val="0"/>
    <w:pPr>
      <w:widowControl/>
      <w:jc w:val="center"/>
    </w:pPr>
    <w:rPr>
      <w:rFonts w:ascii="宋体"/>
      <w:b/>
      <w:kern w:val="0"/>
      <w:sz w:val="36"/>
    </w:rPr>
  </w:style>
  <w:style w:type="paragraph" w:customStyle="1" w:styleId="182">
    <w:name w:val="表格"/>
    <w:basedOn w:val="1"/>
    <w:qFormat/>
    <w:uiPriority w:val="0"/>
    <w:pPr>
      <w:jc w:val="center"/>
      <w:textAlignment w:val="center"/>
    </w:pPr>
    <w:rPr>
      <w:rFonts w:ascii="华文细黑" w:hAnsi="华文细黑"/>
      <w:kern w:val="0"/>
    </w:rPr>
  </w:style>
  <w:style w:type="paragraph" w:customStyle="1" w:styleId="183">
    <w:name w:val="Char Char Char Char Char Char Char Char Char Char1"/>
    <w:basedOn w:val="16"/>
    <w:qFormat/>
    <w:uiPriority w:val="0"/>
    <w:pPr>
      <w:adjustRightInd w:val="0"/>
      <w:spacing w:line="312" w:lineRule="atLeast"/>
      <w:textAlignment w:val="baseline"/>
    </w:pPr>
    <w:rPr>
      <w:rFonts w:ascii="Tahoma" w:hAnsi="Tahoma" w:eastAsia="楷体_GB2312"/>
      <w:kern w:val="0"/>
      <w:sz w:val="24"/>
    </w:rPr>
  </w:style>
  <w:style w:type="paragraph" w:customStyle="1" w:styleId="184">
    <w:name w:val="默认段落字体 Para Char Char Char Char Char Char Char Char Char Char"/>
    <w:basedOn w:val="1"/>
    <w:qFormat/>
    <w:uiPriority w:val="0"/>
    <w:rPr>
      <w:rFonts w:ascii="Tahoma" w:hAnsi="Tahoma"/>
      <w:sz w:val="24"/>
    </w:rPr>
  </w:style>
  <w:style w:type="paragraph" w:customStyle="1" w:styleId="185">
    <w:name w:val="CM163"/>
    <w:basedOn w:val="125"/>
    <w:next w:val="125"/>
    <w:qFormat/>
    <w:uiPriority w:val="0"/>
    <w:pPr>
      <w:spacing w:after="90"/>
    </w:pPr>
    <w:rPr>
      <w:rFonts w:cs="Times New Roman"/>
      <w:color w:val="auto"/>
    </w:rPr>
  </w:style>
  <w:style w:type="paragraph" w:customStyle="1" w:styleId="186">
    <w:name w:val="CM56"/>
    <w:basedOn w:val="125"/>
    <w:next w:val="125"/>
    <w:qFormat/>
    <w:uiPriority w:val="0"/>
    <w:pPr>
      <w:spacing w:line="468" w:lineRule="atLeast"/>
    </w:pPr>
    <w:rPr>
      <w:rFonts w:cs="Times New Roman"/>
      <w:color w:val="auto"/>
    </w:rPr>
  </w:style>
  <w:style w:type="paragraph" w:customStyle="1" w:styleId="187">
    <w:name w:val="CM143"/>
    <w:basedOn w:val="125"/>
    <w:next w:val="125"/>
    <w:qFormat/>
    <w:uiPriority w:val="0"/>
    <w:pPr>
      <w:spacing w:line="468" w:lineRule="atLeast"/>
    </w:pPr>
    <w:rPr>
      <w:rFonts w:cs="Times New Roman"/>
      <w:color w:val="auto"/>
    </w:rPr>
  </w:style>
  <w:style w:type="paragraph" w:customStyle="1" w:styleId="188">
    <w:name w:val="CM72"/>
    <w:basedOn w:val="125"/>
    <w:next w:val="125"/>
    <w:qFormat/>
    <w:uiPriority w:val="0"/>
    <w:pPr>
      <w:spacing w:line="438" w:lineRule="atLeast"/>
    </w:pPr>
    <w:rPr>
      <w:rFonts w:cs="Times New Roman"/>
      <w:color w:val="auto"/>
    </w:rPr>
  </w:style>
  <w:style w:type="paragraph" w:customStyle="1" w:styleId="189">
    <w:name w:val="CM14"/>
    <w:basedOn w:val="125"/>
    <w:next w:val="125"/>
    <w:qFormat/>
    <w:uiPriority w:val="0"/>
    <w:pPr>
      <w:spacing w:line="468" w:lineRule="atLeast"/>
    </w:pPr>
    <w:rPr>
      <w:rFonts w:cs="Times New Roman"/>
      <w:color w:val="auto"/>
    </w:rPr>
  </w:style>
  <w:style w:type="paragraph" w:customStyle="1" w:styleId="19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1">
    <w:name w:val="CM173"/>
    <w:basedOn w:val="125"/>
    <w:next w:val="125"/>
    <w:qFormat/>
    <w:uiPriority w:val="0"/>
    <w:pPr>
      <w:spacing w:after="383"/>
    </w:pPr>
    <w:rPr>
      <w:rFonts w:cs="Times New Roman"/>
      <w:color w:val="auto"/>
    </w:rPr>
  </w:style>
  <w:style w:type="paragraph" w:customStyle="1" w:styleId="192">
    <w:name w:val="explanatory_notes"/>
    <w:basedOn w:val="1"/>
    <w:qFormat/>
    <w:uiPriority w:val="0"/>
    <w:pPr>
      <w:widowControl/>
      <w:suppressAutoHyphens/>
      <w:spacing w:after="240" w:line="360" w:lineRule="exact"/>
    </w:pPr>
    <w:rPr>
      <w:rFonts w:ascii="Arial" w:hAnsi="Arial"/>
      <w:kern w:val="0"/>
      <w:sz w:val="24"/>
      <w:lang w:eastAsia="en-US"/>
    </w:rPr>
  </w:style>
  <w:style w:type="paragraph" w:customStyle="1" w:styleId="193">
    <w:name w:val="Char Char 字元 字元 字元 Char Char Char Char1"/>
    <w:basedOn w:val="1"/>
    <w:qFormat/>
    <w:uiPriority w:val="0"/>
    <w:pPr>
      <w:adjustRightInd w:val="0"/>
      <w:spacing w:line="360" w:lineRule="auto"/>
    </w:pPr>
    <w:rPr>
      <w:kern w:val="0"/>
      <w:sz w:val="24"/>
    </w:rPr>
  </w:style>
  <w:style w:type="paragraph" w:customStyle="1" w:styleId="194">
    <w:name w:val="CM40"/>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customStyle="1" w:styleId="195">
    <w:name w:val="目录文字"/>
    <w:basedOn w:val="1"/>
    <w:qFormat/>
    <w:uiPriority w:val="0"/>
    <w:pPr>
      <w:widowControl/>
      <w:spacing w:line="480" w:lineRule="auto"/>
      <w:jc w:val="left"/>
    </w:pPr>
    <w:rPr>
      <w:rFonts w:ascii="宋体" w:hAnsi="宋体"/>
      <w:kern w:val="0"/>
      <w:sz w:val="24"/>
    </w:rPr>
  </w:style>
  <w:style w:type="paragraph" w:customStyle="1" w:styleId="19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97">
    <w:name w:val="修订2"/>
    <w:hidden/>
    <w:qFormat/>
    <w:uiPriority w:val="0"/>
    <w:rPr>
      <w:rFonts w:ascii="Times New Roman" w:hAnsi="Times New Roman" w:eastAsia="宋体" w:cs="Times New Roman"/>
      <w:kern w:val="2"/>
      <w:sz w:val="21"/>
      <w:lang w:val="en-US" w:eastAsia="zh-CN" w:bidi="ar-SA"/>
    </w:rPr>
  </w:style>
  <w:style w:type="paragraph" w:customStyle="1" w:styleId="198">
    <w:name w:val="Table Paragraph"/>
    <w:basedOn w:val="1"/>
    <w:qFormat/>
    <w:uiPriority w:val="1"/>
    <w:pPr>
      <w:widowControl/>
      <w:jc w:val="center"/>
    </w:pPr>
    <w:rPr>
      <w:rFonts w:ascii="宋体" w:hAnsi="宋体" w:cs="宋体"/>
      <w:kern w:val="0"/>
      <w:sz w:val="22"/>
      <w:szCs w:val="22"/>
      <w:lang w:val="zh-CN" w:bidi="zh-CN"/>
    </w:rPr>
  </w:style>
  <w:style w:type="character" w:customStyle="1" w:styleId="199">
    <w:name w:val="副标题 Char2"/>
    <w:qFormat/>
    <w:uiPriority w:val="11"/>
    <w:rPr>
      <w:rFonts w:ascii="Calibri Light" w:hAnsi="Calibri Light" w:cs="Times New Roman"/>
      <w:b/>
      <w:bCs/>
      <w:kern w:val="28"/>
      <w:sz w:val="32"/>
      <w:szCs w:val="32"/>
    </w:rPr>
  </w:style>
  <w:style w:type="character" w:customStyle="1" w:styleId="200">
    <w:name w:val="Heading 3 Char"/>
    <w:qFormat/>
    <w:locked/>
    <w:uiPriority w:val="0"/>
    <w:rPr>
      <w:rFonts w:eastAsia="宋体"/>
      <w:b/>
      <w:bCs/>
      <w:kern w:val="2"/>
      <w:sz w:val="32"/>
      <w:szCs w:val="32"/>
      <w:lang w:val="en-US" w:eastAsia="zh-CN" w:bidi="ar-SA"/>
    </w:rPr>
  </w:style>
  <w:style w:type="character" w:customStyle="1" w:styleId="201">
    <w:name w:val="apple-converted-space"/>
    <w:basedOn w:val="47"/>
    <w:qFormat/>
    <w:uiPriority w:val="0"/>
  </w:style>
  <w:style w:type="character" w:customStyle="1" w:styleId="202">
    <w:name w:val="批注主题 Char1"/>
    <w:qFormat/>
    <w:uiPriority w:val="0"/>
    <w:rPr>
      <w:rFonts w:ascii="Times New Roman" w:hAnsi="Times New Roman" w:eastAsia="宋体" w:cs="Times New Roman"/>
      <w:b/>
      <w:bCs/>
      <w:kern w:val="2"/>
      <w:sz w:val="21"/>
      <w:szCs w:val="24"/>
    </w:rPr>
  </w:style>
  <w:style w:type="character" w:customStyle="1" w:styleId="203">
    <w:name w:val="纯文本 Char2"/>
    <w:semiHidden/>
    <w:qFormat/>
    <w:uiPriority w:val="99"/>
    <w:rPr>
      <w:rFonts w:ascii="宋体" w:hAnsi="Courier New" w:cs="Courier New"/>
      <w:kern w:val="2"/>
      <w:sz w:val="21"/>
      <w:szCs w:val="21"/>
    </w:rPr>
  </w:style>
  <w:style w:type="character" w:customStyle="1" w:styleId="204">
    <w:name w:val="明显引用 Char2"/>
    <w:qFormat/>
    <w:uiPriority w:val="99"/>
    <w:rPr>
      <w:i/>
      <w:iCs/>
      <w:color w:val="5B9BD5"/>
      <w:kern w:val="2"/>
      <w:sz w:val="21"/>
      <w:szCs w:val="24"/>
    </w:rPr>
  </w:style>
  <w:style w:type="character" w:customStyle="1" w:styleId="205">
    <w:name w:val="引用 Char2"/>
    <w:qFormat/>
    <w:uiPriority w:val="99"/>
    <w:rPr>
      <w:i/>
      <w:iCs/>
      <w:color w:val="404040"/>
      <w:kern w:val="2"/>
      <w:sz w:val="21"/>
      <w:szCs w:val="24"/>
    </w:rPr>
  </w:style>
  <w:style w:type="paragraph" w:customStyle="1" w:styleId="206">
    <w:name w:val="Char Char Char Char Char Char"/>
    <w:basedOn w:val="1"/>
    <w:qFormat/>
    <w:uiPriority w:val="0"/>
    <w:rPr>
      <w:szCs w:val="24"/>
    </w:rPr>
  </w:style>
  <w:style w:type="paragraph" w:customStyle="1" w:styleId="207">
    <w:name w:val="正文文字缩进 3"/>
    <w:basedOn w:val="1"/>
    <w:qFormat/>
    <w:uiPriority w:val="0"/>
    <w:pPr>
      <w:ind w:left="54" w:leftChars="54"/>
      <w:jc w:val="center"/>
    </w:pPr>
    <w:rPr>
      <w:rFonts w:ascii="黑体" w:hAnsi="宋体" w:eastAsia="黑体" w:cs="黑体"/>
      <w:spacing w:val="20"/>
      <w:w w:val="80"/>
      <w:sz w:val="36"/>
      <w:szCs w:val="36"/>
    </w:rPr>
  </w:style>
  <w:style w:type="paragraph" w:customStyle="1" w:styleId="208">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Char 字元 字元 字元 Char Char Char Char2"/>
    <w:basedOn w:val="1"/>
    <w:qFormat/>
    <w:uiPriority w:val="0"/>
    <w:pPr>
      <w:adjustRightInd w:val="0"/>
      <w:spacing w:line="360" w:lineRule="auto"/>
    </w:pPr>
    <w:rPr>
      <w:kern w:val="0"/>
      <w:sz w:val="24"/>
    </w:rPr>
  </w:style>
  <w:style w:type="paragraph" w:customStyle="1" w:styleId="210">
    <w:name w:val="Char Char Char Char Char Char Char Char Char Char2"/>
    <w:basedOn w:val="16"/>
    <w:qFormat/>
    <w:uiPriority w:val="0"/>
    <w:pPr>
      <w:adjustRightInd w:val="0"/>
      <w:spacing w:line="312" w:lineRule="atLeast"/>
      <w:textAlignment w:val="baseline"/>
    </w:pPr>
    <w:rPr>
      <w:rFonts w:ascii="Tahoma" w:hAnsi="Tahoma" w:eastAsia="楷体_GB2312"/>
      <w:kern w:val="0"/>
      <w:sz w:val="24"/>
    </w:rPr>
  </w:style>
  <w:style w:type="paragraph" w:customStyle="1" w:styleId="211">
    <w:name w:val="xl22"/>
    <w:basedOn w:val="1"/>
    <w:qFormat/>
    <w:uiPriority w:val="0"/>
    <w:pPr>
      <w:widowControl/>
      <w:spacing w:before="100" w:beforeAutospacing="1" w:after="100" w:afterAutospacing="1"/>
    </w:pPr>
    <w:rPr>
      <w:kern w:val="0"/>
      <w:sz w:val="24"/>
      <w:szCs w:val="24"/>
    </w:rPr>
  </w:style>
  <w:style w:type="paragraph" w:customStyle="1" w:styleId="212">
    <w:name w:val="TOC 标题2"/>
    <w:basedOn w:val="2"/>
    <w:next w:val="1"/>
    <w:qFormat/>
    <w:uiPriority w:val="0"/>
    <w:pPr>
      <w:keepLines/>
      <w:widowControl w:val="0"/>
      <w:tabs>
        <w:tab w:val="clear" w:pos="432"/>
      </w:tabs>
      <w:spacing w:before="340" w:after="330" w:line="578" w:lineRule="auto"/>
      <w:ind w:left="0" w:firstLine="0"/>
      <w:jc w:val="both"/>
      <w:outlineLvl w:val="9"/>
    </w:pPr>
    <w:rPr>
      <w:rFonts w:ascii="Times New Roman" w:eastAsia="宋体"/>
      <w:b/>
      <w:bCs/>
      <w:kern w:val="44"/>
      <w:sz w:val="44"/>
      <w:szCs w:val="44"/>
    </w:rPr>
  </w:style>
  <w:style w:type="paragraph" w:customStyle="1" w:styleId="213">
    <w:name w:val="Char21"/>
    <w:basedOn w:val="1"/>
    <w:qFormat/>
    <w:uiPriority w:val="0"/>
    <w:rPr>
      <w:szCs w:val="24"/>
    </w:rPr>
  </w:style>
  <w:style w:type="paragraph" w:customStyle="1" w:styleId="21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szCs w:val="24"/>
    </w:rPr>
  </w:style>
  <w:style w:type="paragraph" w:customStyle="1" w:styleId="215">
    <w:name w:val="Char3"/>
    <w:basedOn w:val="1"/>
    <w:qFormat/>
    <w:uiPriority w:val="0"/>
    <w:rPr>
      <w:rFonts w:ascii="仿宋_GB2312" w:eastAsia="仿宋_GB2312"/>
      <w:b/>
      <w:sz w:val="32"/>
      <w:szCs w:val="32"/>
    </w:rPr>
  </w:style>
  <w:style w:type="paragraph" w:customStyle="1" w:styleId="216">
    <w:name w:val="Char Char Char Char Char Char1"/>
    <w:basedOn w:val="1"/>
    <w:qFormat/>
    <w:uiPriority w:val="0"/>
    <w:rPr>
      <w:szCs w:val="24"/>
    </w:rPr>
  </w:style>
  <w:style w:type="paragraph" w:customStyle="1" w:styleId="217">
    <w:name w:val="标题三 Char Char Char"/>
    <w:basedOn w:val="1"/>
    <w:semiHidden/>
    <w:qFormat/>
    <w:uiPriority w:val="0"/>
    <w:rPr>
      <w:rFonts w:eastAsia="黑体"/>
      <w:sz w:val="28"/>
      <w:szCs w:val="28"/>
    </w:rPr>
  </w:style>
  <w:style w:type="paragraph" w:customStyle="1" w:styleId="218">
    <w:name w:val="Char Char Char Char1"/>
    <w:basedOn w:val="1"/>
    <w:qFormat/>
    <w:uiPriority w:val="0"/>
    <w:pPr>
      <w:widowControl/>
      <w:spacing w:after="160" w:line="240" w:lineRule="exact"/>
      <w:jc w:val="left"/>
    </w:pPr>
    <w:rPr>
      <w:szCs w:val="24"/>
    </w:rPr>
  </w:style>
  <w:style w:type="paragraph" w:customStyle="1" w:styleId="219">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character" w:customStyle="1" w:styleId="220">
    <w:name w:val="正文文本首行缩进 字符"/>
    <w:basedOn w:val="91"/>
    <w:link w:val="43"/>
    <w:qFormat/>
    <w:uiPriority w:val="0"/>
    <w:rPr>
      <w:kern w:val="2"/>
      <w:sz w:val="21"/>
      <w:szCs w:val="24"/>
    </w:rPr>
  </w:style>
  <w:style w:type="character" w:customStyle="1" w:styleId="221">
    <w:name w:val="批注框文本 Char1"/>
    <w:qFormat/>
    <w:uiPriority w:val="0"/>
    <w:rPr>
      <w:kern w:val="2"/>
      <w:sz w:val="18"/>
      <w:szCs w:val="18"/>
    </w:rPr>
  </w:style>
  <w:style w:type="character" w:customStyle="1" w:styleId="222">
    <w:name w:val="正文首行缩进 Char1"/>
    <w:qFormat/>
    <w:uiPriority w:val="99"/>
    <w:rPr>
      <w:rFonts w:eastAsia="宋体"/>
      <w:kern w:val="2"/>
      <w:sz w:val="21"/>
    </w:rPr>
  </w:style>
  <w:style w:type="character" w:customStyle="1" w:styleId="223">
    <w:name w:val="批注文字 Char1"/>
    <w:qFormat/>
    <w:uiPriority w:val="0"/>
    <w:rPr>
      <w:rFonts w:ascii="Times New Roman" w:hAnsi="Times New Roman" w:eastAsia="宋体" w:cs="Times New Roman"/>
      <w:sz w:val="20"/>
      <w:szCs w:val="20"/>
      <w:lang w:bidi="ar-SA"/>
    </w:rPr>
  </w:style>
  <w:style w:type="character" w:customStyle="1" w:styleId="224">
    <w:name w:val="批注文字 Char Char"/>
    <w:qFormat/>
    <w:uiPriority w:val="0"/>
    <w:rPr>
      <w:rFonts w:ascii="宋体" w:hAnsi="Times New Roman" w:eastAsia="宋体" w:cs="Times New Roman"/>
      <w:sz w:val="28"/>
      <w:szCs w:val="20"/>
    </w:rPr>
  </w:style>
  <w:style w:type="character" w:customStyle="1" w:styleId="225">
    <w:name w:val="明显强调1"/>
    <w:qFormat/>
    <w:uiPriority w:val="21"/>
    <w:rPr>
      <w:b/>
      <w:bCs/>
      <w:i/>
      <w:iCs/>
      <w:color w:val="4F81BD"/>
    </w:rPr>
  </w:style>
  <w:style w:type="character" w:customStyle="1" w:styleId="226">
    <w:name w:val="不明显强调1"/>
    <w:qFormat/>
    <w:uiPriority w:val="19"/>
    <w:rPr>
      <w:i/>
      <w:iCs/>
      <w:color w:val="808080"/>
    </w:rPr>
  </w:style>
  <w:style w:type="character" w:customStyle="1" w:styleId="227">
    <w:name w:val="明显参考1"/>
    <w:qFormat/>
    <w:uiPriority w:val="32"/>
    <w:rPr>
      <w:b/>
      <w:sz w:val="24"/>
      <w:u w:val="single"/>
    </w:rPr>
  </w:style>
  <w:style w:type="character" w:customStyle="1" w:styleId="228">
    <w:name w:val="书籍标题1"/>
    <w:qFormat/>
    <w:uiPriority w:val="33"/>
    <w:rPr>
      <w:b/>
      <w:bCs/>
      <w:smallCaps/>
      <w:spacing w:val="5"/>
    </w:rPr>
  </w:style>
  <w:style w:type="character" w:customStyle="1" w:styleId="229">
    <w:name w:val="日期 Char1"/>
    <w:qFormat/>
    <w:uiPriority w:val="0"/>
    <w:rPr>
      <w:kern w:val="2"/>
      <w:sz w:val="21"/>
      <w:szCs w:val="22"/>
    </w:rPr>
  </w:style>
  <w:style w:type="character" w:customStyle="1" w:styleId="230">
    <w:name w:val="不明显参考1"/>
    <w:qFormat/>
    <w:uiPriority w:val="31"/>
    <w:rPr>
      <w:sz w:val="24"/>
      <w:szCs w:val="24"/>
      <w:u w:val="single"/>
    </w:rPr>
  </w:style>
  <w:style w:type="character" w:customStyle="1" w:styleId="231">
    <w:name w:val="书籍标题11"/>
    <w:qFormat/>
    <w:uiPriority w:val="33"/>
    <w:rPr>
      <w:rFonts w:ascii="Cambria" w:hAnsi="Cambria" w:eastAsia="宋体"/>
      <w:b/>
      <w:i/>
      <w:sz w:val="24"/>
      <w:szCs w:val="24"/>
    </w:rPr>
  </w:style>
  <w:style w:type="character" w:customStyle="1" w:styleId="232">
    <w:name w:val="不明显强调11"/>
    <w:qFormat/>
    <w:uiPriority w:val="19"/>
    <w:rPr>
      <w:i/>
      <w:color w:val="595959"/>
    </w:rPr>
  </w:style>
  <w:style w:type="character" w:customStyle="1" w:styleId="233">
    <w:name w:val="不明显参考2"/>
    <w:qFormat/>
    <w:uiPriority w:val="0"/>
    <w:rPr>
      <w:smallCaps/>
      <w:color w:val="C0504D"/>
      <w:u w:val="single"/>
    </w:rPr>
  </w:style>
  <w:style w:type="character" w:customStyle="1" w:styleId="234">
    <w:name w:val="文档结构图 Char2"/>
    <w:semiHidden/>
    <w:qFormat/>
    <w:uiPriority w:val="99"/>
    <w:rPr>
      <w:rFonts w:ascii="Microsoft YaHei UI" w:hAnsi="Calibri" w:eastAsia="Microsoft YaHei UI" w:cs="Arial"/>
      <w:kern w:val="0"/>
      <w:sz w:val="18"/>
      <w:szCs w:val="18"/>
    </w:rPr>
  </w:style>
  <w:style w:type="character" w:customStyle="1" w:styleId="235">
    <w:name w:val="Comment Text Char"/>
    <w:qFormat/>
    <w:uiPriority w:val="0"/>
  </w:style>
  <w:style w:type="character" w:customStyle="1" w:styleId="236">
    <w:name w:val="style_kwd"/>
    <w:basedOn w:val="47"/>
    <w:qFormat/>
    <w:uiPriority w:val="0"/>
  </w:style>
  <w:style w:type="character" w:customStyle="1" w:styleId="237">
    <w:name w:val="正文文本 Char1"/>
    <w:qFormat/>
    <w:uiPriority w:val="0"/>
    <w:rPr>
      <w:rFonts w:eastAsia="宋体"/>
      <w:kern w:val="2"/>
      <w:sz w:val="21"/>
    </w:rPr>
  </w:style>
  <w:style w:type="character" w:customStyle="1" w:styleId="238">
    <w:name w:val="正文文本 Char2"/>
    <w:semiHidden/>
    <w:qFormat/>
    <w:uiPriority w:val="99"/>
    <w:rPr>
      <w:rFonts w:ascii="Calibri" w:hAnsi="Calibri" w:cs="Arial"/>
      <w:kern w:val="0"/>
      <w:sz w:val="20"/>
      <w:szCs w:val="20"/>
    </w:rPr>
  </w:style>
  <w:style w:type="character" w:customStyle="1" w:styleId="239">
    <w:name w:val="明显强调11"/>
    <w:qFormat/>
    <w:uiPriority w:val="21"/>
    <w:rPr>
      <w:b/>
      <w:i/>
      <w:sz w:val="24"/>
      <w:szCs w:val="24"/>
      <w:u w:val="single"/>
    </w:rPr>
  </w:style>
  <w:style w:type="character" w:customStyle="1" w:styleId="240">
    <w:name w:val="明显参考2"/>
    <w:qFormat/>
    <w:uiPriority w:val="0"/>
    <w:rPr>
      <w:b/>
      <w:bCs/>
      <w:smallCaps/>
      <w:color w:val="C0504D"/>
      <w:spacing w:val="5"/>
      <w:u w:val="single"/>
    </w:rPr>
  </w:style>
  <w:style w:type="paragraph" w:customStyle="1" w:styleId="241">
    <w:name w:val="修订11"/>
    <w:qFormat/>
    <w:uiPriority w:val="0"/>
    <w:rPr>
      <w:rFonts w:ascii="Calibri" w:hAnsi="Calibri" w:eastAsia="宋体" w:cs="Times New Roman"/>
      <w:kern w:val="2"/>
      <w:sz w:val="21"/>
      <w:szCs w:val="24"/>
      <w:lang w:val="en-US" w:eastAsia="zh-CN" w:bidi="ar-SA"/>
    </w:rPr>
  </w:style>
  <w:style w:type="paragraph" w:customStyle="1" w:styleId="242">
    <w:name w:val="我的正文"/>
    <w:basedOn w:val="1"/>
    <w:qFormat/>
    <w:uiPriority w:val="0"/>
    <w:rPr>
      <w:rFonts w:ascii="宋体" w:hAnsi="宋体"/>
      <w:sz w:val="24"/>
      <w:szCs w:val="24"/>
    </w:rPr>
  </w:style>
  <w:style w:type="paragraph" w:customStyle="1" w:styleId="243">
    <w:name w:val="修订21"/>
    <w:qFormat/>
    <w:uiPriority w:val="0"/>
    <w:rPr>
      <w:rFonts w:ascii="Calibri" w:hAnsi="Calibri" w:eastAsia="宋体" w:cs="Times New Roman"/>
      <w:kern w:val="2"/>
      <w:sz w:val="21"/>
      <w:szCs w:val="24"/>
      <w:lang w:val="en-US" w:eastAsia="zh-CN" w:bidi="ar-SA"/>
    </w:rPr>
  </w:style>
  <w:style w:type="paragraph" w:customStyle="1" w:styleId="244">
    <w:name w:val="列出段落1"/>
    <w:basedOn w:val="1"/>
    <w:qFormat/>
    <w:uiPriority w:val="0"/>
    <w:pPr>
      <w:ind w:firstLine="420" w:firstLineChars="200"/>
    </w:pPr>
    <w:rPr>
      <w:rFonts w:ascii="Calibri" w:hAnsi="Calibri"/>
      <w:szCs w:val="22"/>
    </w:rPr>
  </w:style>
  <w:style w:type="paragraph" w:customStyle="1" w:styleId="245">
    <w:name w:val="_Style 6"/>
    <w:basedOn w:val="2"/>
    <w:next w:val="1"/>
    <w:qFormat/>
    <w:uiPriority w:val="0"/>
    <w:pPr>
      <w:keepLines/>
      <w:widowControl w:val="0"/>
      <w:tabs>
        <w:tab w:val="clear" w:pos="432"/>
      </w:tabs>
      <w:spacing w:before="340" w:after="330" w:line="576" w:lineRule="auto"/>
      <w:ind w:left="0" w:firstLine="0"/>
      <w:jc w:val="both"/>
      <w:outlineLvl w:val="9"/>
    </w:pPr>
    <w:rPr>
      <w:rFonts w:ascii="Calibri" w:hAnsi="Calibri" w:eastAsia="宋体"/>
      <w:b/>
      <w:kern w:val="44"/>
      <w:sz w:val="44"/>
    </w:rPr>
  </w:style>
  <w:style w:type="paragraph" w:styleId="246">
    <w:name w:val="No Spacing"/>
    <w:basedOn w:val="1"/>
    <w:qFormat/>
    <w:uiPriority w:val="0"/>
    <w:pPr>
      <w:widowControl/>
      <w:jc w:val="left"/>
    </w:pPr>
    <w:rPr>
      <w:rFonts w:ascii="Calibri" w:hAnsi="Calibri"/>
      <w:kern w:val="0"/>
      <w:sz w:val="24"/>
      <w:szCs w:val="32"/>
    </w:rPr>
  </w:style>
  <w:style w:type="paragraph" w:customStyle="1" w:styleId="247">
    <w:name w:val="_Style 23"/>
    <w:basedOn w:val="1"/>
    <w:qFormat/>
    <w:uiPriority w:val="0"/>
    <w:pPr>
      <w:widowControl/>
      <w:spacing w:after="160" w:line="240" w:lineRule="exact"/>
      <w:jc w:val="left"/>
    </w:pPr>
    <w:rPr>
      <w:rFonts w:ascii="Calibri" w:hAnsi="Calibri"/>
      <w:szCs w:val="22"/>
    </w:rPr>
  </w:style>
  <w:style w:type="table" w:customStyle="1" w:styleId="248">
    <w:name w:val="TableGrid"/>
    <w:qFormat/>
    <w:uiPriority w:val="0"/>
    <w:rPr>
      <w:rFonts w:ascii="Calibri" w:hAnsi="Calibri"/>
    </w:rPr>
    <w:tblPr>
      <w:tblCellMar>
        <w:top w:w="0" w:type="dxa"/>
        <w:left w:w="0" w:type="dxa"/>
        <w:bottom w:w="0" w:type="dxa"/>
        <w:right w:w="0" w:type="dxa"/>
      </w:tblCellMar>
    </w:tblPr>
  </w:style>
  <w:style w:type="character" w:customStyle="1" w:styleId="249">
    <w:name w:val="font21"/>
    <w:basedOn w:val="47"/>
    <w:qFormat/>
    <w:uiPriority w:val="0"/>
    <w:rPr>
      <w:rFonts w:hint="eastAsia" w:ascii="宋体" w:hAnsi="宋体" w:eastAsia="宋体" w:cs="宋体"/>
      <w:color w:val="000000"/>
      <w:sz w:val="21"/>
      <w:szCs w:val="21"/>
      <w:u w:val="none"/>
    </w:rPr>
  </w:style>
  <w:style w:type="character" w:customStyle="1" w:styleId="250">
    <w:name w:val="Body text|1_"/>
    <w:basedOn w:val="47"/>
    <w:link w:val="251"/>
    <w:qFormat/>
    <w:uiPriority w:val="0"/>
    <w:rPr>
      <w:rFonts w:ascii="宋体" w:hAnsi="宋体" w:cs="宋体"/>
      <w:lang w:val="zh-TW" w:eastAsia="zh-TW" w:bidi="zh-TW"/>
    </w:rPr>
  </w:style>
  <w:style w:type="paragraph" w:customStyle="1" w:styleId="251">
    <w:name w:val="Body text|1"/>
    <w:basedOn w:val="1"/>
    <w:link w:val="250"/>
    <w:qFormat/>
    <w:uiPriority w:val="0"/>
    <w:pPr>
      <w:spacing w:after="60" w:line="446" w:lineRule="auto"/>
      <w:ind w:firstLine="400"/>
      <w:jc w:val="left"/>
    </w:pPr>
    <w:rPr>
      <w:rFonts w:ascii="宋体" w:hAnsi="宋体" w:cs="宋体"/>
      <w:kern w:val="0"/>
      <w:sz w:val="20"/>
      <w:lang w:val="zh-TW" w:eastAsia="zh-TW" w:bidi="zh-TW"/>
    </w:rPr>
  </w:style>
  <w:style w:type="paragraph" w:customStyle="1" w:styleId="252">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253">
    <w:name w:val="15"/>
    <w:qFormat/>
    <w:uiPriority w:val="0"/>
    <w:rPr>
      <w:rFonts w:hint="default" w:ascii="Times New Roman" w:hAnsi="Times New Roman" w:cs="Times New Roman"/>
      <w:color w:val="464445"/>
      <w:u w:val="none"/>
    </w:rPr>
  </w:style>
  <w:style w:type="character" w:customStyle="1" w:styleId="254">
    <w:name w:val="font31"/>
    <w:basedOn w:val="47"/>
    <w:qFormat/>
    <w:uiPriority w:val="0"/>
    <w:rPr>
      <w:rFonts w:ascii="Arial" w:hAnsi="Arial" w:cs="Arial"/>
      <w:color w:val="000000"/>
      <w:sz w:val="22"/>
      <w:szCs w:val="22"/>
      <w:u w:val="none"/>
    </w:rPr>
  </w:style>
  <w:style w:type="character" w:customStyle="1" w:styleId="255">
    <w:name w:val="font01"/>
    <w:basedOn w:val="47"/>
    <w:qFormat/>
    <w:uiPriority w:val="0"/>
    <w:rPr>
      <w:rFonts w:hint="eastAsia" w:ascii="宋体" w:hAnsi="宋体" w:eastAsia="宋体" w:cs="宋体"/>
      <w:color w:val="000000"/>
      <w:sz w:val="22"/>
      <w:szCs w:val="22"/>
      <w:u w:val="none"/>
    </w:rPr>
  </w:style>
  <w:style w:type="paragraph" w:customStyle="1" w:styleId="256">
    <w:name w:val="标准表格"/>
    <w:basedOn w:val="1"/>
    <w:qFormat/>
    <w:uiPriority w:val="0"/>
    <w:pPr>
      <w:widowControl/>
      <w:jc w:val="left"/>
    </w:pPr>
    <w:rPr>
      <w:rFonts w:ascii="宋体" w:hAnsi="宋体"/>
      <w:bCs/>
      <w:kern w:val="0"/>
      <w:lang w:val="zh-CN"/>
    </w:rPr>
  </w:style>
  <w:style w:type="character" w:customStyle="1" w:styleId="257">
    <w:name w:val="tpc_content"/>
    <w:basedOn w:val="47"/>
    <w:qFormat/>
    <w:uiPriority w:val="0"/>
  </w:style>
  <w:style w:type="paragraph" w:customStyle="1" w:styleId="258">
    <w:name w:val="标题 21"/>
    <w:basedOn w:val="1"/>
    <w:qFormat/>
    <w:uiPriority w:val="1"/>
    <w:pPr>
      <w:ind w:left="801" w:hanging="401"/>
      <w:outlineLvl w:val="2"/>
    </w:pPr>
    <w:rPr>
      <w:rFonts w:ascii="Microsoft JhengHei" w:hAnsi="Microsoft JhengHei" w:eastAsia="Microsoft JhengHei" w:cs="Microsoft JhengHei"/>
      <w:b/>
      <w:bCs/>
      <w:sz w:val="32"/>
      <w:szCs w:val="32"/>
    </w:rPr>
  </w:style>
  <w:style w:type="paragraph" w:customStyle="1" w:styleId="259">
    <w:name w:val="用户正文1"/>
    <w:qFormat/>
    <w:uiPriority w:val="99"/>
    <w:pPr>
      <w:spacing w:line="360" w:lineRule="auto"/>
      <w:ind w:firstLine="573"/>
      <w:jc w:val="both"/>
      <w:textAlignment w:val="center"/>
    </w:pPr>
    <w:rPr>
      <w:rFonts w:ascii="Times New Roman" w:hAnsi="Times New Roman" w:eastAsia="宋体" w:cs="Times New Roman"/>
      <w:sz w:val="22"/>
      <w:lang w:val="en-US" w:eastAsia="zh-CN" w:bidi="ar-SA"/>
    </w:rPr>
  </w:style>
  <w:style w:type="paragraph" w:customStyle="1" w:styleId="260">
    <w:name w:val="规范书正文"/>
    <w:basedOn w:val="1"/>
    <w:qFormat/>
    <w:uiPriority w:val="0"/>
    <w:pPr>
      <w:spacing w:before="60" w:after="60" w:line="460" w:lineRule="exact"/>
    </w:pPr>
    <w:rPr>
      <w:rFonts w:ascii="Arial" w:hAnsi="Arial"/>
      <w:sz w:val="24"/>
    </w:rPr>
  </w:style>
  <w:style w:type="character" w:customStyle="1" w:styleId="261">
    <w:name w:val="标题 1 Char"/>
    <w:basedOn w:val="47"/>
    <w:link w:val="2"/>
    <w:qFormat/>
    <w:uiPriority w:val="0"/>
    <w:rPr>
      <w:b/>
      <w:kern w:val="44"/>
      <w:sz w:val="44"/>
    </w:rPr>
  </w:style>
  <w:style w:type="paragraph" w:customStyle="1" w:styleId="262">
    <w:name w:val="样式 规范书正文 + 左侧:  0.37 厘米 右侧:  0.37 厘米"/>
    <w:basedOn w:val="260"/>
    <w:next w:val="3"/>
    <w:qFormat/>
    <w:uiPriority w:val="0"/>
    <w:pPr>
      <w:numPr>
        <w:ilvl w:val="0"/>
        <w:numId w:val="1"/>
      </w:numPr>
      <w:ind w:right="210"/>
    </w:pPr>
  </w:style>
  <w:style w:type="character" w:customStyle="1" w:styleId="263">
    <w:name w:val="NormalCharacter"/>
    <w:qFormat/>
    <w:uiPriority w:val="0"/>
  </w:style>
  <w:style w:type="character" w:customStyle="1" w:styleId="264">
    <w:name w:val="UserStyle_19"/>
    <w:qFormat/>
    <w:uiPriority w:val="0"/>
  </w:style>
  <w:style w:type="paragraph" w:customStyle="1" w:styleId="265">
    <w:name w:val="正文文本1"/>
    <w:basedOn w:val="1"/>
    <w:qFormat/>
    <w:uiPriority w:val="0"/>
    <w:pPr>
      <w:spacing w:line="360" w:lineRule="atLeast"/>
      <w:jc w:val="center"/>
    </w:pPr>
    <w:rPr>
      <w:kern w:val="0"/>
      <w:sz w:val="24"/>
    </w:rPr>
  </w:style>
  <w:style w:type="paragraph" w:customStyle="1" w:styleId="266">
    <w:name w:val="Table Text"/>
    <w:basedOn w:val="1"/>
    <w:semiHidden/>
    <w:qFormat/>
    <w:uiPriority w:val="0"/>
    <w:rPr>
      <w:rFonts w:ascii="宋体" w:hAnsi="宋体" w:eastAsia="宋体" w:cs="宋体"/>
      <w:sz w:val="23"/>
      <w:szCs w:val="23"/>
      <w:lang w:val="en-US" w:eastAsia="en-US" w:bidi="ar-SA"/>
    </w:rPr>
  </w:style>
  <w:style w:type="paragraph" w:customStyle="1" w:styleId="267">
    <w:name w:val="Other|1"/>
    <w:basedOn w:val="1"/>
    <w:qFormat/>
    <w:uiPriority w:val="0"/>
    <w:pPr>
      <w:spacing w:line="262" w:lineRule="auto"/>
    </w:pPr>
    <w:rPr>
      <w:rFonts w:ascii="宋体" w:hAnsi="宋体" w:cs="宋体"/>
      <w:sz w:val="20"/>
      <w:lang w:val="zh-TW" w:eastAsia="zh-TW" w:bidi="zh-TW"/>
    </w:rPr>
  </w:style>
  <w:style w:type="paragraph" w:customStyle="1" w:styleId="268">
    <w:name w:val="Heading #2|1"/>
    <w:basedOn w:val="1"/>
    <w:qFormat/>
    <w:uiPriority w:val="0"/>
    <w:pPr>
      <w:spacing w:before="100" w:after="560"/>
      <w:ind w:firstLine="200"/>
      <w:jc w:val="center"/>
      <w:outlineLvl w:val="1"/>
    </w:pPr>
    <w:rPr>
      <w:rFonts w:ascii="宋体" w:hAnsi="宋体" w:cs="宋体"/>
      <w:sz w:val="32"/>
      <w:szCs w:val="32"/>
      <w:lang w:val="zh-TW" w:eastAsia="zh-TW" w:bidi="zh-TW"/>
    </w:rPr>
  </w:style>
  <w:style w:type="paragraph" w:customStyle="1" w:styleId="269">
    <w:name w:val="Table caption|1"/>
    <w:basedOn w:val="1"/>
    <w:qFormat/>
    <w:uiPriority w:val="0"/>
    <w:rPr>
      <w:rFonts w:ascii="宋体" w:hAnsi="宋体" w:cs="宋体"/>
      <w:sz w:val="22"/>
      <w:szCs w:val="22"/>
      <w:lang w:val="zh-TW" w:eastAsia="zh-TW" w:bidi="zh-TW"/>
    </w:rPr>
  </w:style>
  <w:style w:type="paragraph" w:customStyle="1" w:styleId="270">
    <w:name w:val="K&amp;W Body text"/>
    <w:basedOn w:val="271"/>
    <w:qFormat/>
    <w:uiPriority w:val="0"/>
    <w:pPr>
      <w:ind w:firstLine="200" w:firstLineChars="200"/>
    </w:pPr>
    <w:rPr>
      <w:color w:val="auto"/>
    </w:rPr>
  </w:style>
  <w:style w:type="paragraph" w:customStyle="1" w:styleId="271">
    <w:name w:val="K&amp;W Normal"/>
    <w:qFormat/>
    <w:uiPriority w:val="0"/>
    <w:pPr>
      <w:spacing w:after="360" w:line="320" w:lineRule="atLeast"/>
      <w:jc w:val="both"/>
    </w:pPr>
    <w:rPr>
      <w:rFonts w:ascii="Arial" w:hAnsi="Arial" w:eastAsia="楷体_GB2312" w:cs="Times New Roman"/>
      <w:color w:val="000000"/>
      <w:sz w:val="24"/>
      <w:szCs w:val="22"/>
      <w:lang w:val="en-US" w:eastAsia="en-US" w:bidi="ar-SA"/>
    </w:rPr>
  </w:style>
  <w:style w:type="paragraph" w:customStyle="1" w:styleId="272">
    <w:name w:val="6"/>
    <w:basedOn w:val="1"/>
    <w:qFormat/>
    <w:uiPriority w:val="0"/>
    <w:pPr>
      <w:widowControl/>
      <w:tabs>
        <w:tab w:val="left" w:pos="0"/>
      </w:tabs>
      <w:kinsoku w:val="0"/>
      <w:autoSpaceDE w:val="0"/>
      <w:autoSpaceDN w:val="0"/>
      <w:adjustRightInd w:val="0"/>
      <w:snapToGrid w:val="0"/>
      <w:spacing w:line="360" w:lineRule="auto"/>
      <w:jc w:val="left"/>
      <w:textAlignment w:val="baseline"/>
    </w:pPr>
    <w:rPr>
      <w:rFonts w:ascii="宋体" w:hAnsi="宋体" w:eastAsia="Arial" w:cs="Arial"/>
      <w:snapToGrid w:val="0"/>
      <w:color w:val="000000"/>
      <w:kern w:val="0"/>
      <w:sz w:val="24"/>
      <w:lang w:eastAsia="en-US"/>
    </w:rPr>
  </w:style>
  <w:style w:type="table" w:customStyle="1" w:styleId="273">
    <w:name w:val="Table Normal"/>
    <w:semiHidden/>
    <w:unhideWhenUsed/>
    <w:qFormat/>
    <w:uiPriority w:val="0"/>
    <w:tblPr>
      <w:tblCellMar>
        <w:top w:w="0" w:type="dxa"/>
        <w:left w:w="0" w:type="dxa"/>
        <w:bottom w:w="0" w:type="dxa"/>
        <w:right w:w="0" w:type="dxa"/>
      </w:tblCellMar>
    </w:tblPr>
  </w:style>
  <w:style w:type="character" w:customStyle="1" w:styleId="274">
    <w:name w:val="font11"/>
    <w:basedOn w:val="47"/>
    <w:qFormat/>
    <w:uiPriority w:val="0"/>
    <w:rPr>
      <w:rFonts w:hint="eastAsia" w:ascii="宋体" w:hAnsi="宋体" w:eastAsia="宋体" w:cs="宋体"/>
      <w:color w:val="000000"/>
      <w:sz w:val="18"/>
      <w:szCs w:val="18"/>
      <w:u w:val="none"/>
    </w:rPr>
  </w:style>
  <w:style w:type="character" w:customStyle="1" w:styleId="275">
    <w:name w:val="font51"/>
    <w:basedOn w:val="47"/>
    <w:qFormat/>
    <w:uiPriority w:val="0"/>
    <w:rPr>
      <w:rFonts w:hint="eastAsia" w:ascii="宋体" w:hAnsi="宋体" w:eastAsia="宋体" w:cs="宋体"/>
      <w:color w:val="000000"/>
      <w:sz w:val="20"/>
      <w:szCs w:val="20"/>
      <w:u w:val="none"/>
    </w:rPr>
  </w:style>
  <w:style w:type="character" w:customStyle="1" w:styleId="276">
    <w:name w:val="标题 3 Char"/>
    <w:link w:val="4"/>
    <w:qFormat/>
    <w:uiPriority w:val="0"/>
    <w:rPr>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jpeg"/><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5138</Words>
  <Characters>5722</Characters>
  <Lines>288</Lines>
  <Paragraphs>81</Paragraphs>
  <TotalTime>132</TotalTime>
  <ScaleCrop>false</ScaleCrop>
  <LinksUpToDate>false</LinksUpToDate>
  <CharactersWithSpaces>5770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2022-04-07T11:18:00Z</dcterms:created>
  <dc:creator>Administrator;Linda</dc:creator>
  <cp:lastModifiedBy>Administrator</cp:lastModifiedBy>
  <cp:lastPrinted>2024-04-19T06:41:00Z</cp:lastPrinted>
  <dcterms:modified xsi:type="dcterms:W3CDTF">2026-04-20T06:22:33Z</dcterms:modified>
  <dc:title>哈尔滨经济技术开发区哈南工业新城南城首府安置小区</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7471D497AD3C4295951CD543896F4805_13</vt:lpwstr>
  </property>
  <property fmtid="{D5CDD505-2E9C-101B-9397-08002B2CF9AE}" pid="4" name="commondata">
    <vt:lpwstr>eyJoZGlkIjoiODYzODcwN2EwMzM1N2FkOThmNzZkMjk2ZjY4NzExYWUifQ==</vt:lpwstr>
  </property>
  <property fmtid="{D5CDD505-2E9C-101B-9397-08002B2CF9AE}" pid="5" name="KSOTemplateDocerSaveRecord">
    <vt:lpwstr>eyJoZGlkIjoiZjJmNzFkMzIxOTNiOTllNTc0YjNiYzE4ZjVlYjVjMGQiLCJ1c2VySWQiOiI0MjI0MDUwODkifQ==</vt:lpwstr>
  </property>
</Properties>
</file>