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firstLine="1044"/>
        <w:jc w:val="center"/>
        <w:rPr>
          <w:rFonts w:hint="eastAsia" w:ascii="宋体" w:hAnsi="宋体" w:eastAsia="宋体" w:cs="宋体"/>
          <w:b/>
          <w:color w:val="000000" w:themeColor="text1"/>
          <w:sz w:val="56"/>
          <w:szCs w:val="56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left="0" w:leftChars="0" w:firstLine="0" w:firstLineChars="0"/>
        <w:jc w:val="both"/>
        <w:rPr>
          <w:rFonts w:hint="eastAsia" w:ascii="宋体" w:hAnsi="宋体" w:eastAsia="宋体" w:cs="宋体"/>
          <w:b/>
          <w:color w:val="000000" w:themeColor="text1"/>
          <w:sz w:val="56"/>
          <w:szCs w:val="56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left="0" w:leftChars="0" w:firstLine="0" w:firstLineChars="0"/>
        <w:jc w:val="center"/>
        <w:rPr>
          <w:rFonts w:hint="eastAsia" w:ascii="宋体" w:hAnsi="宋体" w:eastAsia="宋体" w:cs="宋体"/>
          <w:b/>
          <w:color w:val="000000" w:themeColor="text1"/>
          <w:sz w:val="56"/>
          <w:szCs w:val="5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56"/>
          <w:szCs w:val="56"/>
          <w:lang w:val="en-US" w:eastAsia="zh-CN"/>
          <w14:textFill>
            <w14:solidFill>
              <w14:schemeClr w14:val="tx1"/>
            </w14:solidFill>
          </w14:textFill>
        </w:rPr>
        <w:t>哈尔滨市公共资源交易平台</w:t>
      </w:r>
    </w:p>
    <w:p>
      <w:pPr>
        <w:spacing w:line="360" w:lineRule="auto"/>
        <w:ind w:left="0" w:leftChars="0" w:firstLine="0" w:firstLineChars="0"/>
        <w:jc w:val="center"/>
        <w:rPr>
          <w:rFonts w:hint="eastAsia" w:ascii="宋体" w:hAnsi="宋体" w:eastAsia="宋体" w:cs="宋体"/>
          <w:b/>
          <w:color w:val="000000" w:themeColor="text1"/>
          <w:sz w:val="56"/>
          <w:szCs w:val="56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left="0" w:leftChars="0" w:firstLine="0" w:firstLineChars="0"/>
        <w:jc w:val="center"/>
        <w:rPr>
          <w:rFonts w:hint="eastAsia" w:ascii="宋体" w:hAnsi="宋体" w:eastAsia="宋体" w:cs="宋体"/>
          <w:b/>
          <w:color w:val="000000" w:themeColor="text1"/>
          <w:sz w:val="56"/>
          <w:szCs w:val="56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56"/>
          <w:szCs w:val="56"/>
          <w:lang w:val="en-US" w:eastAsia="zh-CN"/>
          <w14:textFill>
            <w14:solidFill>
              <w14:schemeClr w14:val="tx1"/>
            </w14:solidFill>
          </w14:textFill>
        </w:rPr>
        <w:t>受让方</w:t>
      </w:r>
      <w:r>
        <w:rPr>
          <w:rFonts w:hint="eastAsia" w:ascii="宋体" w:hAnsi="宋体" w:eastAsia="宋体" w:cs="宋体"/>
          <w:b/>
          <w:color w:val="000000" w:themeColor="text1"/>
          <w:sz w:val="56"/>
          <w:szCs w:val="56"/>
          <w14:textFill>
            <w14:solidFill>
              <w14:schemeClr w14:val="tx1"/>
            </w14:solidFill>
          </w14:textFill>
        </w:rPr>
        <w:t>操作手册</w:t>
      </w:r>
    </w:p>
    <w:p>
      <w:pPr>
        <w:pStyle w:val="2"/>
        <w:numPr>
          <w:ilvl w:val="1"/>
          <w:numId w:val="0"/>
        </w:numPr>
        <w:spacing w:line="360" w:lineRule="auto"/>
        <w:ind w:leftChars="0"/>
        <w:jc w:val="center"/>
        <w:outlineLvl w:val="9"/>
        <w:rPr>
          <w:rFonts w:hint="eastAsia" w:ascii="宋体" w:hAnsi="宋体" w:eastAsia="宋体" w:cs="宋体"/>
          <w:sz w:val="32"/>
          <w:szCs w:val="36"/>
        </w:rPr>
      </w:pPr>
    </w:p>
    <w:p>
      <w:pPr>
        <w:spacing w:line="360" w:lineRule="auto"/>
        <w:jc w:val="center"/>
        <w:rPr>
          <w:rFonts w:hint="eastAsia" w:ascii="宋体" w:hAnsi="宋体" w:eastAsia="宋体" w:cs="宋体"/>
          <w:sz w:val="22"/>
          <w:szCs w:val="28"/>
        </w:rPr>
      </w:pPr>
    </w:p>
    <w:p>
      <w:pPr>
        <w:spacing w:line="360" w:lineRule="auto"/>
        <w:rPr>
          <w:rFonts w:hint="eastAsia" w:ascii="宋体" w:hAnsi="宋体" w:eastAsia="宋体" w:cs="宋体"/>
          <w:sz w:val="22"/>
          <w:szCs w:val="28"/>
        </w:rPr>
      </w:pPr>
    </w:p>
    <w:p>
      <w:pPr>
        <w:spacing w:line="360" w:lineRule="auto"/>
        <w:rPr>
          <w:rFonts w:hint="eastAsia" w:ascii="宋体" w:hAnsi="宋体" w:eastAsia="宋体" w:cs="宋体"/>
          <w:sz w:val="22"/>
          <w:szCs w:val="28"/>
        </w:rPr>
      </w:pPr>
    </w:p>
    <w:p>
      <w:pPr>
        <w:spacing w:line="360" w:lineRule="auto"/>
        <w:rPr>
          <w:rFonts w:hint="eastAsia" w:ascii="宋体" w:hAnsi="宋体" w:eastAsia="宋体" w:cs="宋体"/>
          <w:sz w:val="22"/>
          <w:szCs w:val="28"/>
        </w:rPr>
      </w:pPr>
    </w:p>
    <w:p>
      <w:pPr>
        <w:spacing w:line="360" w:lineRule="auto"/>
        <w:rPr>
          <w:rFonts w:hint="eastAsia" w:ascii="宋体" w:hAnsi="宋体" w:eastAsia="宋体" w:cs="宋体"/>
          <w:sz w:val="22"/>
          <w:szCs w:val="28"/>
        </w:rPr>
      </w:pPr>
    </w:p>
    <w:p>
      <w:pPr>
        <w:spacing w:line="360" w:lineRule="auto"/>
        <w:rPr>
          <w:rFonts w:hint="eastAsia" w:ascii="宋体" w:hAnsi="宋体" w:eastAsia="宋体" w:cs="宋体"/>
          <w:sz w:val="22"/>
          <w:szCs w:val="28"/>
        </w:rPr>
      </w:pPr>
    </w:p>
    <w:p>
      <w:pPr>
        <w:spacing w:line="360" w:lineRule="auto"/>
        <w:rPr>
          <w:rFonts w:hint="eastAsia" w:ascii="宋体" w:hAnsi="宋体" w:eastAsia="宋体" w:cs="宋体"/>
          <w:sz w:val="22"/>
          <w:szCs w:val="28"/>
        </w:rPr>
      </w:pPr>
    </w:p>
    <w:p>
      <w:pPr>
        <w:spacing w:line="360" w:lineRule="auto"/>
        <w:rPr>
          <w:rFonts w:hint="eastAsia" w:ascii="宋体" w:hAnsi="宋体" w:eastAsia="宋体" w:cs="宋体"/>
          <w:sz w:val="22"/>
          <w:szCs w:val="28"/>
        </w:rPr>
      </w:pPr>
    </w:p>
    <w:p>
      <w:pPr>
        <w:spacing w:line="360" w:lineRule="auto"/>
        <w:rPr>
          <w:rFonts w:hint="eastAsia" w:ascii="宋体" w:hAnsi="宋体" w:eastAsia="宋体" w:cs="宋体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 xml:space="preserve"> </w:t>
      </w:r>
    </w:p>
    <w:p>
      <w:pPr>
        <w:spacing w:line="360" w:lineRule="auto"/>
        <w:rPr>
          <w:rFonts w:hint="eastAsia" w:ascii="宋体" w:hAnsi="宋体" w:eastAsia="宋体" w:cs="宋体"/>
          <w:sz w:val="22"/>
          <w:szCs w:val="28"/>
          <w:lang w:val="en-US" w:eastAsia="zh-CN"/>
        </w:rPr>
      </w:pPr>
    </w:p>
    <w:p>
      <w:pPr>
        <w:spacing w:line="360" w:lineRule="auto"/>
        <w:rPr>
          <w:rFonts w:hint="eastAsia" w:ascii="宋体" w:hAnsi="宋体" w:eastAsia="宋体" w:cs="宋体"/>
          <w:sz w:val="22"/>
          <w:szCs w:val="28"/>
          <w:lang w:val="en-US" w:eastAsia="zh-CN"/>
        </w:rPr>
      </w:pPr>
    </w:p>
    <w:p>
      <w:pPr>
        <w:spacing w:line="360" w:lineRule="auto"/>
        <w:rPr>
          <w:rFonts w:hint="eastAsia" w:ascii="宋体" w:hAnsi="宋体" w:eastAsia="宋体" w:cs="宋体"/>
          <w:sz w:val="22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center"/>
        <w:rPr>
          <w:rFonts w:hint="eastAsia" w:ascii="宋体" w:hAnsi="宋体" w:eastAsia="宋体" w:cs="宋体"/>
          <w:sz w:val="22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sz w:val="40"/>
          <w:szCs w:val="48"/>
          <w:lang w:val="en-US" w:eastAsia="zh-CN"/>
        </w:rPr>
        <w:t>2020年4月16日</w:t>
      </w:r>
    </w:p>
    <w:sdt>
      <w:sdtPr>
        <w:rPr>
          <w:rFonts w:hint="eastAsia" w:ascii="宋体" w:hAnsi="宋体" w:eastAsia="宋体" w:cs="宋体"/>
          <w:b/>
          <w:bCs/>
          <w:kern w:val="2"/>
          <w:sz w:val="44"/>
          <w:szCs w:val="44"/>
          <w:lang w:val="en-US" w:eastAsia="zh-CN" w:bidi="ar-SA"/>
        </w:rPr>
        <w:id w:val="147456934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b/>
          <w:bCs/>
          <w:kern w:val="2"/>
          <w:sz w:val="22"/>
          <w:szCs w:val="28"/>
          <w:lang w:val="en-US" w:eastAsia="zh-CN" w:bidi="ar-SA"/>
        </w:rPr>
      </w:sdtEndPr>
      <w:sdtContent>
        <w:p>
          <w:pPr>
            <w:spacing w:before="0" w:beforeLines="0" w:after="0" w:afterLines="0" w:line="360" w:lineRule="auto"/>
            <w:ind w:left="0" w:leftChars="0" w:right="0" w:rightChars="0" w:firstLine="0" w:firstLineChars="0"/>
            <w:jc w:val="center"/>
            <w:rPr>
              <w:rFonts w:hint="eastAsia" w:ascii="宋体" w:hAnsi="宋体" w:eastAsia="宋体" w:cs="宋体"/>
              <w:b/>
              <w:bCs/>
              <w:sz w:val="44"/>
              <w:szCs w:val="44"/>
            </w:rPr>
          </w:pPr>
          <w:r>
            <w:rPr>
              <w:rFonts w:hint="eastAsia" w:ascii="宋体" w:hAnsi="宋体" w:eastAsia="宋体" w:cs="宋体"/>
              <w:b/>
              <w:bCs/>
              <w:sz w:val="44"/>
              <w:szCs w:val="44"/>
            </w:rPr>
            <w:t>目</w:t>
          </w:r>
          <w:r>
            <w:rPr>
              <w:rFonts w:hint="eastAsia" w:ascii="宋体" w:hAnsi="宋体" w:eastAsia="宋体" w:cs="宋体"/>
              <w:b/>
              <w:bCs/>
              <w:sz w:val="44"/>
              <w:szCs w:val="44"/>
              <w:lang w:val="en-US" w:eastAsia="zh-CN"/>
            </w:rPr>
            <w:t xml:space="preserve">   </w:t>
          </w:r>
          <w:r>
            <w:rPr>
              <w:rFonts w:hint="eastAsia" w:ascii="宋体" w:hAnsi="宋体" w:eastAsia="宋体" w:cs="宋体"/>
              <w:b/>
              <w:bCs/>
              <w:sz w:val="44"/>
              <w:szCs w:val="44"/>
            </w:rPr>
            <w:t>录</w:t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instrText xml:space="preserve">TOC \o "1-2" \h \u </w:instrText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instrText xml:space="preserve"> HYPERLINK \l _Toc5338 </w:instrText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fldChar w:fldCharType="separate"/>
          </w:r>
          <w:r>
            <w:rPr>
              <w:rFonts w:hint="default" w:ascii="宋体" w:hAnsi="宋体" w:eastAsia="宋体" w:cs="宋体"/>
              <w:szCs w:val="36"/>
            </w:rPr>
            <w:t xml:space="preserve">1. </w:t>
          </w:r>
          <w:r>
            <w:rPr>
              <w:rFonts w:hint="eastAsia" w:ascii="宋体" w:hAnsi="宋体" w:eastAsia="宋体" w:cs="宋体"/>
              <w:szCs w:val="36"/>
            </w:rPr>
            <w:t>浏览器配置</w:t>
          </w:r>
          <w:r>
            <w:tab/>
          </w:r>
          <w:r>
            <w:fldChar w:fldCharType="begin"/>
          </w:r>
          <w:r>
            <w:instrText xml:space="preserve"> PAGEREF _Toc5338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instrText xml:space="preserve"> HYPERLINK \l _Toc7180 </w:instrText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separate"/>
          </w:r>
          <w:r>
            <w:rPr>
              <w:rFonts w:hint="default" w:ascii="宋体" w:hAnsi="宋体" w:eastAsia="宋体" w:cs="宋体"/>
              <w:szCs w:val="20"/>
            </w:rPr>
            <w:t xml:space="preserve">1.1. </w:t>
          </w:r>
          <w:r>
            <w:rPr>
              <w:rFonts w:hint="eastAsia" w:ascii="宋体" w:hAnsi="宋体" w:eastAsia="宋体" w:cs="宋体"/>
              <w:szCs w:val="20"/>
            </w:rPr>
            <w:t>Internet选项</w:t>
          </w:r>
          <w:r>
            <w:tab/>
          </w:r>
          <w:r>
            <w:fldChar w:fldCharType="begin"/>
          </w:r>
          <w:r>
            <w:instrText xml:space="preserve"> PAGEREF _Toc7180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instrText xml:space="preserve"> HYPERLINK \l _Toc23591 </w:instrText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separate"/>
          </w:r>
          <w:r>
            <w:rPr>
              <w:rFonts w:hint="default" w:ascii="宋体" w:hAnsi="宋体" w:eastAsia="宋体" w:cs="宋体"/>
              <w:szCs w:val="20"/>
            </w:rPr>
            <w:t xml:space="preserve">1.2. </w:t>
          </w:r>
          <w:r>
            <w:rPr>
              <w:rFonts w:hint="eastAsia" w:ascii="宋体" w:hAnsi="宋体" w:eastAsia="宋体" w:cs="宋体"/>
              <w:szCs w:val="20"/>
            </w:rPr>
            <w:t>关闭拦截工具</w:t>
          </w:r>
          <w:r>
            <w:tab/>
          </w:r>
          <w:r>
            <w:fldChar w:fldCharType="begin"/>
          </w:r>
          <w:r>
            <w:instrText xml:space="preserve"> PAGEREF _Toc23591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instrText xml:space="preserve"> HYPERLINK \l _Toc16563 </w:instrText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separate"/>
          </w:r>
          <w:r>
            <w:rPr>
              <w:rFonts w:hint="default" w:ascii="宋体" w:hAnsi="宋体" w:eastAsia="宋体" w:cs="宋体"/>
              <w:szCs w:val="20"/>
              <w:lang w:val="en-US" w:eastAsia="zh-CN"/>
            </w:rPr>
            <w:t xml:space="preserve">1.3. </w:t>
          </w:r>
          <w:r>
            <w:rPr>
              <w:rFonts w:hint="eastAsia" w:ascii="宋体" w:hAnsi="宋体" w:eastAsia="宋体" w:cs="宋体"/>
              <w:szCs w:val="20"/>
              <w:lang w:val="en-US" w:eastAsia="zh-CN"/>
            </w:rPr>
            <w:t>驱动下载</w:t>
          </w:r>
          <w:r>
            <w:tab/>
          </w:r>
          <w:r>
            <w:fldChar w:fldCharType="begin"/>
          </w:r>
          <w:r>
            <w:instrText xml:space="preserve"> PAGEREF _Toc16563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instrText xml:space="preserve"> HYPERLINK \l _Toc29349 </w:instrText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separate"/>
          </w:r>
          <w:r>
            <w:rPr>
              <w:rFonts w:hint="default" w:ascii="宋体" w:hAnsi="宋体" w:eastAsia="宋体" w:cs="宋体"/>
              <w:szCs w:val="36"/>
              <w:lang w:val="en-US" w:eastAsia="zh-CN"/>
            </w:rPr>
            <w:t xml:space="preserve">2. </w:t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t>交易平台简介</w:t>
          </w:r>
          <w:r>
            <w:tab/>
          </w:r>
          <w:r>
            <w:fldChar w:fldCharType="begin"/>
          </w:r>
          <w:r>
            <w:instrText xml:space="preserve"> PAGEREF _Toc29349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instrText xml:space="preserve"> HYPERLINK \l _Toc4988 </w:instrText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Cs w:val="20"/>
              <w:lang w:val="en-US" w:eastAsia="zh-CN"/>
            </w:rPr>
            <w:t>2.1诚信库注册</w:t>
          </w:r>
          <w:r>
            <w:tab/>
          </w:r>
          <w:r>
            <w:fldChar w:fldCharType="begin"/>
          </w:r>
          <w:r>
            <w:instrText xml:space="preserve"> PAGEREF _Toc4988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instrText xml:space="preserve"> HYPERLINK \l _Toc19617 </w:instrText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Cs w:val="20"/>
              <w:lang w:val="en-US" w:eastAsia="zh-CN"/>
            </w:rPr>
            <w:t>2.2平台登录</w:t>
          </w:r>
          <w:r>
            <w:tab/>
          </w:r>
          <w:r>
            <w:fldChar w:fldCharType="begin"/>
          </w:r>
          <w:r>
            <w:instrText xml:space="preserve"> PAGEREF _Toc19617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instrText xml:space="preserve"> HYPERLINK \l _Toc20257 </w:instrText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Cs w:val="20"/>
              <w:lang w:val="en-US" w:eastAsia="zh-CN"/>
            </w:rPr>
            <w:t>2.3菜单介绍</w:t>
          </w:r>
          <w:r>
            <w:tab/>
          </w:r>
          <w:r>
            <w:fldChar w:fldCharType="begin"/>
          </w:r>
          <w:r>
            <w:instrText xml:space="preserve"> PAGEREF _Toc20257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instrText xml:space="preserve"> HYPERLINK \l _Toc31497 </w:instrText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separate"/>
          </w:r>
          <w:r>
            <w:rPr>
              <w:rFonts w:hint="default" w:ascii="宋体" w:hAnsi="宋体" w:eastAsia="宋体" w:cs="宋体"/>
              <w:szCs w:val="32"/>
              <w:lang w:val="en-US" w:eastAsia="zh-CN"/>
            </w:rPr>
            <w:t xml:space="preserve">3. </w:t>
          </w:r>
          <w:r>
            <w:rPr>
              <w:rFonts w:hint="eastAsia" w:ascii="宋体" w:hAnsi="宋体" w:eastAsia="宋体" w:cs="宋体"/>
              <w:szCs w:val="32"/>
              <w:lang w:val="en-US" w:eastAsia="zh-CN"/>
            </w:rPr>
            <w:t>竞买人报名竞价流程</w:t>
          </w:r>
          <w:r>
            <w:tab/>
          </w:r>
          <w:r>
            <w:fldChar w:fldCharType="begin"/>
          </w:r>
          <w:r>
            <w:instrText xml:space="preserve"> PAGEREF _Toc31497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instrText xml:space="preserve"> HYPERLINK \l _Toc25994 </w:instrText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Cs w:val="32"/>
            </w:rPr>
            <w:t>3.1报名操作</w:t>
          </w:r>
          <w:r>
            <w:tab/>
          </w:r>
          <w:r>
            <w:fldChar w:fldCharType="begin"/>
          </w:r>
          <w:r>
            <w:instrText xml:space="preserve"> PAGEREF _Toc25994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instrText xml:space="preserve"> HYPERLINK \l _Toc523 </w:instrText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Cs w:val="32"/>
            </w:rPr>
            <w:t>3.2报名信息</w:t>
          </w:r>
          <w:r>
            <w:tab/>
          </w:r>
          <w:r>
            <w:fldChar w:fldCharType="begin"/>
          </w:r>
          <w:r>
            <w:instrText xml:space="preserve"> PAGEREF _Toc523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instrText xml:space="preserve"> HYPERLINK \l _Toc25712 </w:instrText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Cs w:val="32"/>
            </w:rPr>
            <w:t>3.3保证金缴纳</w:t>
          </w:r>
          <w:r>
            <w:tab/>
          </w:r>
          <w:r>
            <w:fldChar w:fldCharType="begin"/>
          </w:r>
          <w:r>
            <w:instrText xml:space="preserve"> PAGEREF _Toc25712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instrText xml:space="preserve"> HYPERLINK \l _Toc29109 </w:instrText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Cs w:val="21"/>
            </w:rPr>
            <w:t>3.4</w:t>
          </w:r>
          <w:r>
            <w:rPr>
              <w:rFonts w:hint="eastAsia" w:ascii="宋体" w:hAnsi="宋体" w:eastAsia="宋体" w:cs="宋体"/>
              <w:szCs w:val="21"/>
              <w:lang w:val="en-US" w:eastAsia="zh-CN"/>
            </w:rPr>
            <w:t>我要报价</w:t>
          </w:r>
          <w:r>
            <w:tab/>
          </w:r>
          <w:r>
            <w:fldChar w:fldCharType="begin"/>
          </w:r>
          <w:r>
            <w:instrText xml:space="preserve"> PAGEREF _Toc29109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instrText xml:space="preserve"> HYPERLINK \l _Toc22521 </w:instrText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Cs w:val="21"/>
            </w:rPr>
            <w:t>3.5电子竞价风险风险告知及接受确认书</w:t>
          </w:r>
          <w:r>
            <w:tab/>
          </w:r>
          <w:r>
            <w:fldChar w:fldCharType="begin"/>
          </w:r>
          <w:r>
            <w:instrText xml:space="preserve"> PAGEREF _Toc22521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instrText xml:space="preserve"> HYPERLINK \l _Toc14498 </w:instrText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Cs w:val="21"/>
            </w:rPr>
            <w:t>3.6</w:t>
          </w:r>
          <w:r>
            <w:rPr>
              <w:rFonts w:hint="eastAsia" w:ascii="宋体" w:hAnsi="宋体" w:eastAsia="宋体" w:cs="宋体"/>
              <w:szCs w:val="21"/>
              <w:lang w:val="en-US" w:eastAsia="zh-CN"/>
            </w:rPr>
            <w:t>开始报价</w:t>
          </w:r>
          <w:r>
            <w:tab/>
          </w:r>
          <w:r>
            <w:fldChar w:fldCharType="begin"/>
          </w:r>
          <w:r>
            <w:instrText xml:space="preserve"> PAGEREF _Toc14498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instrText xml:space="preserve"> HYPERLINK \l _Toc25400 </w:instrText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Cs w:val="21"/>
              <w:lang w:val="en-US" w:eastAsia="zh-CN"/>
            </w:rPr>
            <w:t>3.7项目成交</w:t>
          </w:r>
          <w:r>
            <w:tab/>
          </w:r>
          <w:r>
            <w:fldChar w:fldCharType="begin"/>
          </w:r>
          <w:r>
            <w:instrText xml:space="preserve"> PAGEREF _Toc25400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end"/>
          </w:r>
        </w:p>
        <w:p>
          <w:pPr>
            <w:numPr>
              <w:ilvl w:val="0"/>
              <w:numId w:val="0"/>
            </w:numPr>
            <w:spacing w:line="360" w:lineRule="auto"/>
            <w:outlineLvl w:val="0"/>
            <w:rPr>
              <w:rFonts w:hint="eastAsia" w:ascii="宋体" w:hAnsi="宋体" w:eastAsia="宋体" w:cs="宋体"/>
              <w:sz w:val="22"/>
              <w:szCs w:val="28"/>
              <w:lang w:val="en-US" w:eastAsia="zh-CN"/>
            </w:rPr>
            <w:sectPr>
              <w:pgSz w:w="11906" w:h="16838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  <w:r>
            <w:rPr>
              <w:rFonts w:hint="eastAsia" w:ascii="宋体" w:hAnsi="宋体" w:eastAsia="宋体" w:cs="宋体"/>
              <w:szCs w:val="36"/>
              <w:lang w:val="en-US" w:eastAsia="zh-CN"/>
            </w:rPr>
            <w:fldChar w:fldCharType="end"/>
          </w:r>
          <w:bookmarkStart w:id="60" w:name="_GoBack"/>
          <w:bookmarkEnd w:id="60"/>
        </w:p>
      </w:sdtContent>
    </w:sdt>
    <w:p>
      <w:pPr>
        <w:pStyle w:val="2"/>
        <w:numPr>
          <w:ilvl w:val="0"/>
          <w:numId w:val="2"/>
        </w:numPr>
        <w:spacing w:line="360" w:lineRule="auto"/>
        <w:ind w:left="0" w:leftChars="0" w:firstLine="0" w:firstLineChars="0"/>
        <w:outlineLvl w:val="0"/>
        <w:rPr>
          <w:rFonts w:hint="eastAsia" w:ascii="宋体" w:hAnsi="宋体" w:eastAsia="宋体" w:cs="宋体"/>
          <w:sz w:val="32"/>
          <w:szCs w:val="36"/>
        </w:rPr>
      </w:pPr>
      <w:bookmarkStart w:id="0" w:name="_Toc5338"/>
      <w:r>
        <w:rPr>
          <w:rFonts w:hint="eastAsia" w:ascii="宋体" w:hAnsi="宋体" w:eastAsia="宋体" w:cs="宋体"/>
          <w:sz w:val="32"/>
          <w:szCs w:val="36"/>
        </w:rPr>
        <w:t>浏览器配置</w:t>
      </w:r>
      <w:bookmarkEnd w:id="0"/>
    </w:p>
    <w:p>
      <w:pPr>
        <w:pStyle w:val="3"/>
        <w:numPr>
          <w:ilvl w:val="1"/>
          <w:numId w:val="3"/>
        </w:numPr>
        <w:bidi w:val="0"/>
        <w:spacing w:line="360" w:lineRule="auto"/>
        <w:ind w:left="0" w:leftChars="0" w:hanging="567" w:firstLineChars="0"/>
        <w:outlineLvl w:val="1"/>
        <w:rPr>
          <w:rFonts w:hint="eastAsia" w:ascii="宋体" w:hAnsi="宋体" w:eastAsia="宋体" w:cs="宋体"/>
          <w:sz w:val="32"/>
          <w:szCs w:val="20"/>
        </w:rPr>
      </w:pPr>
      <w:bookmarkStart w:id="1" w:name="_Toc3483"/>
      <w:bookmarkStart w:id="2" w:name="_Toc475978927"/>
      <w:bookmarkStart w:id="3" w:name="_Toc30085"/>
      <w:bookmarkStart w:id="4" w:name="_Toc346701622"/>
      <w:bookmarkStart w:id="5" w:name="_Toc346183640"/>
      <w:bookmarkStart w:id="6" w:name="_Toc7180"/>
      <w:r>
        <w:rPr>
          <w:rFonts w:hint="eastAsia" w:ascii="宋体" w:hAnsi="宋体" w:eastAsia="宋体" w:cs="宋体"/>
          <w:sz w:val="32"/>
          <w:szCs w:val="20"/>
        </w:rPr>
        <w:t>Internet选项</w:t>
      </w:r>
      <w:bookmarkEnd w:id="1"/>
      <w:bookmarkEnd w:id="2"/>
      <w:bookmarkEnd w:id="3"/>
      <w:bookmarkEnd w:id="4"/>
      <w:bookmarkEnd w:id="5"/>
      <w:bookmarkEnd w:id="6"/>
    </w:p>
    <w:p>
      <w:pPr>
        <w:spacing w:line="360" w:lineRule="auto"/>
        <w:ind w:left="0" w:leftChars="0" w:firstLine="420"/>
        <w:rPr>
          <w:rFonts w:hint="eastAsia" w:ascii="宋体" w:hAnsi="宋体" w:eastAsia="宋体" w:cs="宋体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为了满足哈尔滨市公共资源交易平台</w:t>
      </w:r>
      <w:r>
        <w:rPr>
          <w:rFonts w:hint="eastAsia" w:ascii="宋体" w:hAnsi="宋体" w:eastAsia="宋体" w:cs="宋体"/>
          <w:sz w:val="22"/>
          <w:szCs w:val="28"/>
        </w:rPr>
        <w:t>插件能够正常</w:t>
      </w: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使用</w:t>
      </w:r>
      <w:r>
        <w:rPr>
          <w:rFonts w:hint="eastAsia" w:ascii="宋体" w:hAnsi="宋体" w:eastAsia="宋体" w:cs="宋体"/>
          <w:sz w:val="22"/>
          <w:szCs w:val="28"/>
        </w:rPr>
        <w:t>，请按照以下步骤进行浏览器的配置</w:t>
      </w:r>
      <w:r>
        <w:rPr>
          <w:rFonts w:hint="eastAsia" w:ascii="宋体" w:hAnsi="宋体" w:eastAsia="宋体" w:cs="宋体"/>
          <w:sz w:val="22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本系统推荐使用</w:t>
      </w:r>
      <w:r>
        <w:rPr>
          <w:rFonts w:hint="eastAsia" w:ascii="宋体" w:hAnsi="宋体" w:eastAsia="宋体" w:cs="宋体"/>
          <w:sz w:val="22"/>
          <w:szCs w:val="28"/>
        </w:rPr>
        <w:drawing>
          <wp:inline distT="0" distB="0" distL="114300" distR="114300">
            <wp:extent cx="598170" cy="447040"/>
            <wp:effectExtent l="0" t="0" r="11430" b="1016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8170" cy="44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  <w:t>IE浏览器</w:t>
      </w: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，系统最低推荐版本为</w:t>
      </w:r>
      <w:r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  <w:t>IE8</w:t>
      </w:r>
      <w:r>
        <w:rPr>
          <w:rFonts w:hint="eastAsia" w:ascii="宋体" w:hAnsi="宋体" w:eastAsia="宋体" w:cs="宋体"/>
          <w:b w:val="0"/>
          <w:bCs w:val="0"/>
          <w:sz w:val="22"/>
          <w:szCs w:val="28"/>
          <w:lang w:val="en-US" w:eastAsia="zh-CN"/>
        </w:rPr>
        <w:t>及</w:t>
      </w: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以上。</w:t>
      </w:r>
    </w:p>
    <w:p>
      <w:pPr>
        <w:spacing w:line="360" w:lineRule="auto"/>
        <w:ind w:left="0" w:leftChars="0" w:firstLine="420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1、打开浏览器，在“工具”菜单→“Internet选项”</w:t>
      </w:r>
      <w:r>
        <w:rPr>
          <w:rFonts w:hint="eastAsia" w:ascii="宋体" w:hAnsi="宋体" w:eastAsia="宋体" w:cs="宋体"/>
          <w:sz w:val="22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2"/>
          <w:szCs w:val="28"/>
        </w:rPr>
        <w:t>如下图：</w:t>
      </w:r>
    </w:p>
    <w:p>
      <w:pPr>
        <w:spacing w:line="360" w:lineRule="auto"/>
        <w:ind w:left="0" w:leftChars="0" w:firstLine="420"/>
        <w:jc w:val="center"/>
        <w:rPr>
          <w:rFonts w:hint="eastAsia" w:ascii="宋体" w:hAnsi="宋体" w:eastAsia="宋体" w:cs="宋体"/>
          <w:spacing w:val="4"/>
          <w:sz w:val="22"/>
          <w:szCs w:val="28"/>
        </w:rPr>
      </w:pPr>
      <w:r>
        <w:rPr>
          <w:rFonts w:hint="eastAsia" w:ascii="宋体" w:hAnsi="宋体" w:eastAsia="宋体" w:cs="宋体"/>
          <w:spacing w:val="4"/>
          <w:sz w:val="22"/>
          <w:szCs w:val="28"/>
        </w:rPr>
        <w:drawing>
          <wp:inline distT="0" distB="0" distL="0" distR="0">
            <wp:extent cx="3562350" cy="3152775"/>
            <wp:effectExtent l="0" t="0" r="0" b="9525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420"/>
        <w:jc w:val="center"/>
        <w:rPr>
          <w:rFonts w:hint="eastAsia" w:ascii="宋体" w:hAnsi="宋体" w:eastAsia="宋体" w:cs="宋体"/>
          <w:b/>
          <w:bCs/>
          <w:spacing w:val="4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pacing w:val="4"/>
          <w:sz w:val="22"/>
          <w:szCs w:val="28"/>
          <w:lang w:val="en-US" w:eastAsia="zh-CN"/>
        </w:rPr>
        <w:t>图1.1-1</w:t>
      </w:r>
    </w:p>
    <w:p>
      <w:pPr>
        <w:spacing w:line="360" w:lineRule="auto"/>
        <w:ind w:left="0" w:leftChars="0" w:firstLine="420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2、弹出对话框之后，请选择“安全”选项卡，具体的界面</w:t>
      </w:r>
      <w:r>
        <w:rPr>
          <w:rFonts w:hint="eastAsia" w:ascii="宋体" w:hAnsi="宋体" w:eastAsia="宋体" w:cs="宋体"/>
          <w:sz w:val="22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2"/>
          <w:szCs w:val="28"/>
        </w:rPr>
        <w:t>如下图：</w:t>
      </w:r>
    </w:p>
    <w:p>
      <w:pPr>
        <w:spacing w:line="360" w:lineRule="auto"/>
        <w:ind w:left="0" w:leftChars="0" w:firstLine="420"/>
        <w:jc w:val="center"/>
        <w:rPr>
          <w:rFonts w:hint="eastAsia" w:ascii="宋体" w:hAnsi="宋体" w:eastAsia="宋体" w:cs="宋体"/>
          <w:spacing w:val="4"/>
          <w:sz w:val="22"/>
          <w:szCs w:val="28"/>
        </w:rPr>
      </w:pPr>
      <w:r>
        <w:rPr>
          <w:rFonts w:hint="eastAsia" w:ascii="宋体" w:hAnsi="宋体" w:eastAsia="宋体" w:cs="宋体"/>
          <w:spacing w:val="4"/>
          <w:sz w:val="22"/>
          <w:szCs w:val="28"/>
        </w:rPr>
        <w:drawing>
          <wp:inline distT="0" distB="0" distL="0" distR="0">
            <wp:extent cx="2914650" cy="3476625"/>
            <wp:effectExtent l="0" t="0" r="0" b="9525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420"/>
        <w:jc w:val="center"/>
        <w:rPr>
          <w:rFonts w:hint="eastAsia" w:ascii="宋体" w:hAnsi="宋体" w:eastAsia="宋体" w:cs="宋体"/>
          <w:b/>
          <w:bCs/>
          <w:spacing w:val="4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pacing w:val="4"/>
          <w:sz w:val="22"/>
          <w:szCs w:val="28"/>
          <w:lang w:val="en-US" w:eastAsia="zh-CN"/>
        </w:rPr>
        <w:t>图1.1-2</w:t>
      </w:r>
    </w:p>
    <w:p>
      <w:pPr>
        <w:spacing w:line="360" w:lineRule="auto"/>
        <w:ind w:left="0" w:leftChars="0" w:firstLine="420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3、点击“受信任的站点”的图片，会看到所示的界面</w:t>
      </w:r>
      <w:r>
        <w:rPr>
          <w:rFonts w:hint="eastAsia" w:ascii="宋体" w:hAnsi="宋体" w:eastAsia="宋体" w:cs="宋体"/>
          <w:sz w:val="22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2"/>
          <w:szCs w:val="28"/>
        </w:rPr>
        <w:t>如下图：</w:t>
      </w:r>
    </w:p>
    <w:p>
      <w:pPr>
        <w:spacing w:line="360" w:lineRule="auto"/>
        <w:ind w:left="0" w:leftChars="0" w:firstLine="420"/>
        <w:jc w:val="center"/>
        <w:rPr>
          <w:rFonts w:hint="eastAsia" w:ascii="宋体" w:hAnsi="宋体" w:eastAsia="宋体" w:cs="宋体"/>
          <w:spacing w:val="4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drawing>
          <wp:inline distT="0" distB="0" distL="114300" distR="114300">
            <wp:extent cx="3080385" cy="4398645"/>
            <wp:effectExtent l="0" t="0" r="571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80385" cy="439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420"/>
        <w:jc w:val="center"/>
        <w:rPr>
          <w:rFonts w:hint="eastAsia" w:ascii="宋体" w:hAnsi="宋体" w:eastAsia="宋体" w:cs="宋体"/>
          <w:b/>
          <w:bCs/>
          <w:spacing w:val="4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pacing w:val="4"/>
          <w:sz w:val="22"/>
          <w:szCs w:val="28"/>
          <w:lang w:val="en-US" w:eastAsia="zh-CN"/>
        </w:rPr>
        <w:t>图1.1-3</w:t>
      </w:r>
    </w:p>
    <w:p>
      <w:pPr>
        <w:spacing w:line="360" w:lineRule="auto"/>
        <w:ind w:left="0" w:leftChars="0" w:firstLine="420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4、点击“站点” 按钮，出现如下对话框</w:t>
      </w:r>
      <w:r>
        <w:rPr>
          <w:rFonts w:hint="eastAsia" w:ascii="宋体" w:hAnsi="宋体" w:eastAsia="宋体" w:cs="宋体"/>
          <w:sz w:val="22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2"/>
          <w:szCs w:val="28"/>
        </w:rPr>
        <w:t>如下图：</w:t>
      </w:r>
    </w:p>
    <w:p>
      <w:pPr>
        <w:spacing w:line="360" w:lineRule="auto"/>
        <w:ind w:left="0" w:leftChars="0" w:firstLine="420"/>
        <w:jc w:val="center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drawing>
          <wp:inline distT="0" distB="0" distL="114300" distR="114300">
            <wp:extent cx="4276725" cy="4171950"/>
            <wp:effectExtent l="0" t="0" r="9525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420"/>
        <w:jc w:val="center"/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  <w:t>图1.1-4</w:t>
      </w:r>
    </w:p>
    <w:p>
      <w:pPr>
        <w:spacing w:line="360" w:lineRule="auto"/>
        <w:ind w:left="0" w:leftChars="0" w:firstLine="420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输入系统服务器的IP地址，格式例如：</w:t>
      </w: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http://113.4.248.45</w:t>
      </w:r>
      <w:r>
        <w:rPr>
          <w:rFonts w:hint="eastAsia" w:ascii="宋体" w:hAnsi="宋体" w:eastAsia="宋体" w:cs="宋体"/>
          <w:sz w:val="22"/>
          <w:szCs w:val="28"/>
        </w:rPr>
        <w:t>，然后点击“添加”按钮完成添加，再按“关闭”按钮退出。</w:t>
      </w:r>
    </w:p>
    <w:p>
      <w:pPr>
        <w:spacing w:line="360" w:lineRule="auto"/>
        <w:ind w:left="0" w:leftChars="0" w:firstLine="420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5、设置自定义安全级别，开放Activex的访问权限</w:t>
      </w:r>
      <w:r>
        <w:rPr>
          <w:rFonts w:hint="eastAsia" w:ascii="宋体" w:hAnsi="宋体" w:eastAsia="宋体" w:cs="宋体"/>
          <w:sz w:val="22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2"/>
          <w:szCs w:val="28"/>
        </w:rPr>
        <w:t>如下图：</w:t>
      </w:r>
    </w:p>
    <w:p>
      <w:pPr>
        <w:spacing w:line="360" w:lineRule="auto"/>
        <w:ind w:left="0" w:leftChars="0" w:firstLine="420"/>
        <w:jc w:val="center"/>
        <w:rPr>
          <w:rFonts w:hint="eastAsia" w:ascii="宋体" w:hAnsi="宋体" w:eastAsia="宋体" w:cs="宋体"/>
          <w:spacing w:val="4"/>
          <w:sz w:val="22"/>
          <w:szCs w:val="28"/>
        </w:rPr>
      </w:pPr>
      <w:r>
        <w:rPr>
          <w:rFonts w:hint="eastAsia" w:ascii="宋体" w:hAnsi="宋体" w:eastAsia="宋体" w:cs="宋体"/>
          <w:spacing w:val="4"/>
          <w:sz w:val="22"/>
          <w:szCs w:val="28"/>
        </w:rPr>
        <w:drawing>
          <wp:inline distT="0" distB="0" distL="0" distR="0">
            <wp:extent cx="3533775" cy="4152900"/>
            <wp:effectExtent l="0" t="0" r="9525" b="0"/>
            <wp:docPr id="6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420"/>
        <w:jc w:val="center"/>
        <w:rPr>
          <w:rFonts w:hint="eastAsia" w:ascii="宋体" w:hAnsi="宋体" w:eastAsia="宋体" w:cs="宋体"/>
          <w:b/>
          <w:bCs/>
          <w:spacing w:val="4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pacing w:val="4"/>
          <w:sz w:val="22"/>
          <w:szCs w:val="28"/>
          <w:lang w:val="en-US" w:eastAsia="zh-CN"/>
        </w:rPr>
        <w:t>图1.1-5</w:t>
      </w:r>
    </w:p>
    <w:p>
      <w:pPr>
        <w:spacing w:line="360" w:lineRule="auto"/>
        <w:ind w:left="0" w:leftChars="0" w:firstLine="420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会出现一个窗口，把其中的Activex控件和插件的设置全部改为启用</w:t>
      </w:r>
      <w:r>
        <w:rPr>
          <w:rFonts w:hint="eastAsia" w:ascii="宋体" w:hAnsi="宋体" w:eastAsia="宋体" w:cs="宋体"/>
          <w:sz w:val="22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2"/>
          <w:szCs w:val="28"/>
        </w:rPr>
        <w:t>如下图：</w:t>
      </w:r>
    </w:p>
    <w:p>
      <w:pPr>
        <w:spacing w:line="360" w:lineRule="auto"/>
        <w:ind w:left="0" w:leftChars="0" w:firstLine="420"/>
        <w:jc w:val="center"/>
        <w:rPr>
          <w:rFonts w:hint="eastAsia" w:ascii="宋体" w:hAnsi="宋体" w:eastAsia="宋体" w:cs="宋体"/>
          <w:spacing w:val="4"/>
          <w:sz w:val="22"/>
          <w:szCs w:val="28"/>
        </w:rPr>
      </w:pPr>
      <w:r>
        <w:rPr>
          <w:rFonts w:hint="eastAsia" w:ascii="宋体" w:hAnsi="宋体" w:eastAsia="宋体" w:cs="宋体"/>
          <w:spacing w:val="4"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312420"/>
                <wp:effectExtent l="168275" t="9525" r="14605" b="20955"/>
                <wp:wrapNone/>
                <wp:docPr id="44" name="圆角矩形标注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820" cy="31242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firstLine="420"/>
                            </w:pPr>
                            <w:r>
                              <w:rPr>
                                <w:rFonts w:hint="eastAsia"/>
                              </w:rPr>
                              <w:t>选择启用（共5个ActiveX）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62pt;margin-top:78pt;height:24.6pt;width:156.6pt;z-index:251666432;mso-width-relative:page;mso-height-relative:page;" fillcolor="#FFFFFF" filled="t" stroked="t" coordsize="21600,21600" o:gfxdata="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Pc7ENdYAAAALAQAADwAAAAAAAAABACAAAAAiAAAAZHJzL2Rvd25y&#10;ZXYueG1sUEsBAhQAFAAAAAgAh07iQNjPeAU5AgAAcQQAAA4AAAAAAAAAAQAgAAAAJQEAAGRycy9l&#10;Mm9Eb2MueG1sUEsFBgAAAAAGAAYAWQEAANAFAAAAAA==&#10;" adj="-1448,8824,14400">
                <v:fill on="t" focussize="0,0"/>
                <v:stroke weight="1.5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420"/>
                      </w:pPr>
                      <w:r>
                        <w:rPr>
                          <w:rFonts w:hint="eastAsia"/>
                        </w:rPr>
                        <w:t>选择启用（共5个ActiveX）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pacing w:val="4"/>
          <w:sz w:val="22"/>
          <w:szCs w:val="28"/>
        </w:rPr>
        <w:drawing>
          <wp:inline distT="0" distB="0" distL="0" distR="0">
            <wp:extent cx="3448050" cy="3686175"/>
            <wp:effectExtent l="0" t="0" r="0" b="9525"/>
            <wp:docPr id="132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图片 3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420"/>
        <w:jc w:val="center"/>
        <w:rPr>
          <w:rFonts w:hint="eastAsia" w:ascii="宋体" w:hAnsi="宋体" w:eastAsia="宋体" w:cs="宋体"/>
          <w:b/>
          <w:bCs/>
          <w:spacing w:val="4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pacing w:val="4"/>
          <w:sz w:val="22"/>
          <w:szCs w:val="28"/>
          <w:lang w:val="en-US" w:eastAsia="zh-CN"/>
        </w:rPr>
        <w:t>图1.1-6</w:t>
      </w:r>
    </w:p>
    <w:p>
      <w:pPr>
        <w:spacing w:line="360" w:lineRule="auto"/>
        <w:ind w:left="0" w:leftChars="0" w:firstLine="420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文件下载设置，开放文件下载的权限：设置为启用</w:t>
      </w:r>
      <w:r>
        <w:rPr>
          <w:rFonts w:hint="eastAsia" w:ascii="宋体" w:hAnsi="宋体" w:eastAsia="宋体" w:cs="宋体"/>
          <w:sz w:val="22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2"/>
          <w:szCs w:val="28"/>
        </w:rPr>
        <w:t>如下图：</w:t>
      </w:r>
    </w:p>
    <w:p>
      <w:pPr>
        <w:spacing w:line="360" w:lineRule="auto"/>
        <w:ind w:left="0" w:leftChars="0" w:firstLine="420"/>
        <w:jc w:val="center"/>
        <w:rPr>
          <w:rFonts w:hint="eastAsia" w:ascii="宋体" w:hAnsi="宋体" w:eastAsia="宋体" w:cs="宋体"/>
          <w:spacing w:val="4"/>
          <w:sz w:val="22"/>
          <w:szCs w:val="28"/>
        </w:rPr>
      </w:pPr>
      <w:r>
        <w:rPr>
          <w:rFonts w:hint="eastAsia" w:ascii="宋体" w:hAnsi="宋体" w:eastAsia="宋体" w:cs="宋体"/>
          <w:spacing w:val="4"/>
          <w:sz w:val="22"/>
          <w:szCs w:val="28"/>
        </w:rPr>
        <w:drawing>
          <wp:inline distT="0" distB="0" distL="0" distR="0">
            <wp:extent cx="3524250" cy="3705225"/>
            <wp:effectExtent l="0" t="0" r="0" b="9525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420"/>
        <w:jc w:val="center"/>
        <w:rPr>
          <w:rFonts w:hint="eastAsia" w:ascii="宋体" w:hAnsi="宋体" w:eastAsia="宋体" w:cs="宋体"/>
          <w:b/>
          <w:bCs/>
          <w:spacing w:val="4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pacing w:val="4"/>
          <w:sz w:val="22"/>
          <w:szCs w:val="28"/>
          <w:lang w:val="en-US" w:eastAsia="zh-CN"/>
        </w:rPr>
        <w:t>图1.1-7</w:t>
      </w:r>
    </w:p>
    <w:p>
      <w:pPr>
        <w:pStyle w:val="3"/>
        <w:numPr>
          <w:ilvl w:val="1"/>
          <w:numId w:val="3"/>
        </w:numPr>
        <w:bidi w:val="0"/>
        <w:spacing w:line="360" w:lineRule="auto"/>
        <w:ind w:left="0" w:leftChars="0" w:hanging="567" w:firstLineChars="0"/>
        <w:outlineLvl w:val="1"/>
        <w:rPr>
          <w:rFonts w:hint="eastAsia" w:ascii="宋体" w:hAnsi="宋体" w:eastAsia="宋体" w:cs="宋体"/>
          <w:sz w:val="32"/>
          <w:szCs w:val="20"/>
        </w:rPr>
      </w:pPr>
      <w:bookmarkStart w:id="7" w:name="_Toc20430"/>
      <w:bookmarkStart w:id="8" w:name="_Toc346701623"/>
      <w:bookmarkStart w:id="9" w:name="_Toc346183641"/>
      <w:bookmarkStart w:id="10" w:name="_Toc475978928"/>
      <w:bookmarkStart w:id="11" w:name="_Toc21777"/>
      <w:bookmarkStart w:id="12" w:name="_Toc23591"/>
      <w:r>
        <w:rPr>
          <w:rFonts w:hint="eastAsia" w:ascii="宋体" w:hAnsi="宋体" w:eastAsia="宋体" w:cs="宋体"/>
          <w:sz w:val="32"/>
          <w:szCs w:val="20"/>
        </w:rPr>
        <w:t>关闭拦截工具</w:t>
      </w:r>
      <w:bookmarkEnd w:id="7"/>
      <w:bookmarkEnd w:id="8"/>
      <w:bookmarkEnd w:id="9"/>
      <w:bookmarkEnd w:id="10"/>
      <w:bookmarkEnd w:id="11"/>
      <w:bookmarkEnd w:id="12"/>
    </w:p>
    <w:p>
      <w:pPr>
        <w:spacing w:line="360" w:lineRule="auto"/>
        <w:ind w:left="0" w:leftChars="0" w:firstLine="420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上述操作完成后，如果系统中某些功能仍不能使用，请将拦截工具关闭再试用。比如在windows工具栏中关闭弹出窗口阻止程序的操作</w:t>
      </w:r>
      <w:r>
        <w:rPr>
          <w:rFonts w:hint="eastAsia" w:ascii="宋体" w:hAnsi="宋体" w:eastAsia="宋体" w:cs="宋体"/>
          <w:sz w:val="22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2"/>
          <w:szCs w:val="28"/>
        </w:rPr>
        <w:t>如下图：</w:t>
      </w:r>
    </w:p>
    <w:p>
      <w:pPr>
        <w:pStyle w:val="7"/>
        <w:spacing w:line="360" w:lineRule="auto"/>
        <w:ind w:left="0" w:leftChars="0" w:firstLine="560" w:firstLineChars="20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095875" cy="2324100"/>
            <wp:effectExtent l="0" t="0" r="952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spacing w:line="360" w:lineRule="auto"/>
        <w:ind w:left="0" w:leftChars="0" w:firstLine="562" w:firstLineChars="200"/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图1.2-1</w:t>
      </w:r>
    </w:p>
    <w:p>
      <w:pPr>
        <w:pStyle w:val="3"/>
        <w:numPr>
          <w:ilvl w:val="1"/>
          <w:numId w:val="3"/>
        </w:numPr>
        <w:bidi w:val="0"/>
        <w:spacing w:line="360" w:lineRule="auto"/>
        <w:ind w:left="0" w:leftChars="0" w:hanging="567" w:firstLineChars="0"/>
        <w:outlineLvl w:val="1"/>
        <w:rPr>
          <w:rFonts w:hint="eastAsia" w:ascii="宋体" w:hAnsi="宋体" w:eastAsia="宋体" w:cs="宋体"/>
          <w:sz w:val="32"/>
          <w:szCs w:val="20"/>
          <w:lang w:val="en-US" w:eastAsia="zh-CN"/>
        </w:rPr>
      </w:pPr>
      <w:bookmarkStart w:id="13" w:name="_Toc16563"/>
      <w:r>
        <w:rPr>
          <w:rFonts w:hint="eastAsia" w:ascii="宋体" w:hAnsi="宋体" w:eastAsia="宋体" w:cs="宋体"/>
          <w:sz w:val="32"/>
          <w:szCs w:val="20"/>
          <w:lang w:val="en-US" w:eastAsia="zh-CN"/>
        </w:rPr>
        <w:t>驱动下载</w:t>
      </w:r>
      <w:bookmarkEnd w:id="13"/>
    </w:p>
    <w:p>
      <w:pPr>
        <w:spacing w:line="360" w:lineRule="auto"/>
        <w:ind w:left="0" w:leftChars="0" w:firstLine="420"/>
        <w:rPr>
          <w:rFonts w:hint="eastAsia" w:ascii="宋体" w:hAnsi="宋体" w:eastAsia="宋体" w:cs="宋体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浏览器配置完成之后，需要下载哈尔滨市公共资源交易平台驱动；进入哈尔滨市公共资源交易平台登录页面，在登录界面可以看到“驱动下载”按钮，直接点击进行驱动下载，可以直接运行安装，驱动安装完成之后就可以进入哈尔滨市公共资源交易平台。</w:t>
      </w:r>
    </w:p>
    <w:p>
      <w:pPr>
        <w:spacing w:line="360" w:lineRule="auto"/>
        <w:ind w:left="0" w:leftChars="0" w:firstLine="420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drawing>
          <wp:inline distT="0" distB="0" distL="114300" distR="114300">
            <wp:extent cx="5268595" cy="2447290"/>
            <wp:effectExtent l="0" t="0" r="8255" b="1016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spacing w:line="360" w:lineRule="auto"/>
        <w:ind w:left="0" w:leftChars="0" w:firstLine="562" w:firstLineChars="20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图1.3-1</w:t>
      </w:r>
    </w:p>
    <w:p>
      <w:pPr>
        <w:spacing w:line="360" w:lineRule="auto"/>
        <w:ind w:left="0" w:leftChars="0" w:firstLine="420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drawing>
          <wp:inline distT="0" distB="0" distL="114300" distR="114300">
            <wp:extent cx="5267960" cy="2415540"/>
            <wp:effectExtent l="0" t="0" r="8890" b="381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spacing w:line="360" w:lineRule="auto"/>
        <w:ind w:left="0" w:leftChars="0" w:firstLine="562" w:firstLineChars="200"/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图1.3-2</w:t>
      </w:r>
    </w:p>
    <w:p>
      <w:pPr>
        <w:pStyle w:val="2"/>
        <w:numPr>
          <w:ilvl w:val="0"/>
          <w:numId w:val="2"/>
        </w:numPr>
        <w:spacing w:line="360" w:lineRule="auto"/>
        <w:ind w:left="0" w:leftChars="0" w:firstLine="0" w:firstLineChars="0"/>
        <w:outlineLvl w:val="0"/>
        <w:rPr>
          <w:rFonts w:hint="eastAsia" w:ascii="宋体" w:hAnsi="宋体" w:eastAsia="宋体" w:cs="宋体"/>
          <w:sz w:val="32"/>
          <w:szCs w:val="36"/>
          <w:lang w:val="en-US" w:eastAsia="zh-CN"/>
        </w:rPr>
      </w:pPr>
      <w:bookmarkStart w:id="14" w:name="_Toc29349"/>
      <w:r>
        <w:rPr>
          <w:rFonts w:hint="eastAsia" w:ascii="宋体" w:hAnsi="宋体" w:eastAsia="宋体" w:cs="宋体"/>
          <w:sz w:val="32"/>
          <w:szCs w:val="36"/>
          <w:lang w:val="en-US" w:eastAsia="zh-CN"/>
        </w:rPr>
        <w:t>交易平台简介</w:t>
      </w:r>
      <w:bookmarkEnd w:id="14"/>
    </w:p>
    <w:p>
      <w:pPr>
        <w:pStyle w:val="3"/>
        <w:numPr>
          <w:ilvl w:val="2"/>
          <w:numId w:val="0"/>
        </w:numPr>
        <w:bidi w:val="0"/>
        <w:spacing w:line="360" w:lineRule="auto"/>
        <w:ind w:left="0" w:leftChars="0"/>
        <w:outlineLvl w:val="1"/>
        <w:rPr>
          <w:rFonts w:hint="eastAsia" w:ascii="宋体" w:hAnsi="宋体" w:eastAsia="宋体" w:cs="宋体"/>
          <w:sz w:val="32"/>
          <w:szCs w:val="20"/>
          <w:lang w:val="en-US" w:eastAsia="zh-CN"/>
        </w:rPr>
      </w:pPr>
      <w:bookmarkStart w:id="15" w:name="_Toc4988"/>
      <w:r>
        <w:rPr>
          <w:rFonts w:hint="eastAsia" w:ascii="宋体" w:hAnsi="宋体" w:eastAsia="宋体" w:cs="宋体"/>
          <w:sz w:val="32"/>
          <w:szCs w:val="20"/>
          <w:lang w:val="en-US" w:eastAsia="zh-CN"/>
        </w:rPr>
        <w:t>2.1诚信库注册</w:t>
      </w:r>
      <w:bookmarkEnd w:id="15"/>
    </w:p>
    <w:p>
      <w:pPr>
        <w:numPr>
          <w:ilvl w:val="0"/>
          <w:numId w:val="4"/>
        </w:numPr>
        <w:spacing w:line="360" w:lineRule="auto"/>
        <w:ind w:left="0" w:leftChars="0"/>
        <w:rPr>
          <w:rFonts w:hint="eastAsia" w:ascii="宋体" w:hAnsi="宋体" w:eastAsia="宋体" w:cs="宋体"/>
          <w:b w:val="0"/>
          <w:bCs w:val="0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在登录哈尔滨市公共资源交易平台之前，需要在哈尔滨市公共资源交易平台进行诚信库账号注册，首先需要进入</w:t>
      </w:r>
      <w:r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  <w:t>哈尔滨市公共资源交易中心网站（http://hrbggzy.org.cn/）</w:t>
      </w:r>
      <w:r>
        <w:rPr>
          <w:rFonts w:hint="eastAsia" w:ascii="宋体" w:hAnsi="宋体" w:eastAsia="宋体" w:cs="宋体"/>
          <w:b w:val="0"/>
          <w:bCs w:val="0"/>
          <w:sz w:val="22"/>
          <w:szCs w:val="28"/>
          <w:lang w:val="en-US" w:eastAsia="zh-CN"/>
        </w:rPr>
        <w:t>进入网站之后，找到“产权交易用户”点击进入，会直接跳转到哈尔滨市公共资源交易平台登录页面。如下图；</w:t>
      </w:r>
    </w:p>
    <w:p>
      <w:pPr>
        <w:numPr>
          <w:ilvl w:val="0"/>
          <w:numId w:val="0"/>
        </w:numPr>
        <w:spacing w:line="360" w:lineRule="auto"/>
        <w:ind w:left="0" w:leftChars="0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drawing>
          <wp:inline distT="0" distB="0" distL="114300" distR="114300">
            <wp:extent cx="5271770" cy="2442210"/>
            <wp:effectExtent l="0" t="0" r="5080" b="152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/>
        <w:jc w:val="center"/>
        <w:rPr>
          <w:rFonts w:hint="eastAsia" w:ascii="宋体" w:hAnsi="宋体" w:eastAsia="宋体" w:cs="宋体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  <w:t>图2.1-1</w:t>
      </w:r>
    </w:p>
    <w:p>
      <w:pPr>
        <w:spacing w:line="360" w:lineRule="auto"/>
        <w:ind w:left="0" w:leftChars="0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drawing>
          <wp:inline distT="0" distB="0" distL="114300" distR="114300">
            <wp:extent cx="5274310" cy="2480310"/>
            <wp:effectExtent l="0" t="0" r="2540" b="1524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/>
        <w:jc w:val="center"/>
        <w:rPr>
          <w:rFonts w:hint="eastAsia" w:ascii="宋体" w:hAnsi="宋体" w:eastAsia="宋体" w:cs="宋体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  <w:t>图2.1-2</w:t>
      </w:r>
    </w:p>
    <w:p>
      <w:pPr>
        <w:numPr>
          <w:ilvl w:val="0"/>
          <w:numId w:val="4"/>
        </w:numPr>
        <w:spacing w:line="360" w:lineRule="auto"/>
        <w:ind w:left="0" w:leftChars="0" w:firstLine="0" w:firstLineChars="0"/>
        <w:rPr>
          <w:rFonts w:hint="eastAsia" w:ascii="宋体" w:hAnsi="宋体" w:eastAsia="宋体" w:cs="宋体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进入到哈尔滨市公共资源交易平台之后，可以看到页面右侧的登录界面，点击登录界面上面的“免费注册”，可以进行诚信库注册。</w:t>
      </w:r>
    </w:p>
    <w:p>
      <w:pPr>
        <w:numPr>
          <w:ilvl w:val="0"/>
          <w:numId w:val="0"/>
        </w:numPr>
        <w:spacing w:line="360" w:lineRule="auto"/>
        <w:ind w:left="0" w:leftChars="0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drawing>
          <wp:inline distT="0" distB="0" distL="114300" distR="114300">
            <wp:extent cx="5271770" cy="2455545"/>
            <wp:effectExtent l="0" t="0" r="5080" b="190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/>
        <w:jc w:val="center"/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  <w:t>图2.1-3</w:t>
      </w:r>
    </w:p>
    <w:p>
      <w:pPr>
        <w:numPr>
          <w:ilvl w:val="0"/>
          <w:numId w:val="4"/>
        </w:numPr>
        <w:spacing w:line="360" w:lineRule="auto"/>
        <w:ind w:left="0" w:leftChars="0" w:firstLine="0" w:firstLineChars="0"/>
        <w:jc w:val="both"/>
        <w:rPr>
          <w:rFonts w:hint="eastAsia" w:ascii="宋体" w:hAnsi="宋体" w:eastAsia="宋体" w:cs="宋体"/>
          <w:b w:val="0"/>
          <w:bCs w:val="0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2"/>
          <w:szCs w:val="28"/>
          <w:lang w:val="en-US" w:eastAsia="zh-CN"/>
        </w:rPr>
        <w:t>进入诚信库注册页面之后，先要阅读“注册协议”。</w:t>
      </w: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ascii="宋体" w:hAnsi="宋体" w:eastAsia="宋体" w:cs="宋体"/>
          <w:sz w:val="21"/>
          <w:szCs w:val="24"/>
        </w:rPr>
      </w:pPr>
      <w:r>
        <w:rPr>
          <w:rFonts w:hint="eastAsia" w:ascii="宋体" w:hAnsi="宋体" w:eastAsia="宋体" w:cs="宋体"/>
          <w:sz w:val="21"/>
          <w:szCs w:val="24"/>
        </w:rPr>
        <w:drawing>
          <wp:inline distT="0" distB="0" distL="114300" distR="114300">
            <wp:extent cx="5266055" cy="2474595"/>
            <wp:effectExtent l="0" t="0" r="10795" b="190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/>
        <w:jc w:val="center"/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  <w:t>图2.1-4</w:t>
      </w:r>
    </w:p>
    <w:p>
      <w:pPr>
        <w:spacing w:line="360" w:lineRule="auto"/>
        <w:ind w:left="0" w:leftChars="0" w:firstLine="440" w:firstLineChars="200"/>
        <w:jc w:val="both"/>
        <w:rPr>
          <w:rFonts w:hint="eastAsia" w:ascii="宋体" w:hAnsi="宋体" w:eastAsia="宋体" w:cs="宋体"/>
          <w:b w:val="0"/>
          <w:bCs w:val="0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2"/>
          <w:szCs w:val="28"/>
          <w:lang w:val="en-US" w:eastAsia="zh-CN"/>
        </w:rPr>
        <w:t>阅读注册协议之后，进入到用户类型选择页面，按照自己实际的身份需求进行选择，首次注册只能够选择一种用户类型，但是在审核之后可以添加其他用户类型。注册时需要注意：登录名建议使用单位全称中文名进行注册；密码要设置高复杂度避免因密码被破解而造成损失。</w:t>
      </w:r>
    </w:p>
    <w:p>
      <w:pPr>
        <w:spacing w:line="360" w:lineRule="auto"/>
        <w:ind w:left="0" w:leftChars="0"/>
        <w:jc w:val="both"/>
        <w:rPr>
          <w:rFonts w:hint="eastAsia" w:ascii="宋体" w:hAnsi="宋体" w:eastAsia="宋体" w:cs="宋体"/>
          <w:sz w:val="21"/>
          <w:szCs w:val="24"/>
        </w:rPr>
      </w:pPr>
      <w:r>
        <w:rPr>
          <w:rFonts w:hint="eastAsia" w:ascii="宋体" w:hAnsi="宋体" w:eastAsia="宋体" w:cs="宋体"/>
          <w:sz w:val="21"/>
          <w:szCs w:val="24"/>
        </w:rPr>
        <w:drawing>
          <wp:inline distT="0" distB="0" distL="114300" distR="114300">
            <wp:extent cx="5265420" cy="2484120"/>
            <wp:effectExtent l="0" t="0" r="11430" b="1143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/>
        <w:jc w:val="center"/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  <w:t>图2.1-5</w:t>
      </w:r>
    </w:p>
    <w:p>
      <w:pPr>
        <w:spacing w:line="360" w:lineRule="auto"/>
        <w:ind w:left="0" w:leftChars="0"/>
        <w:jc w:val="center"/>
        <w:rPr>
          <w:rFonts w:hint="eastAsia" w:ascii="宋体" w:hAnsi="宋体" w:eastAsia="宋体" w:cs="宋体"/>
          <w:sz w:val="21"/>
          <w:szCs w:val="24"/>
        </w:rPr>
      </w:pPr>
      <w:r>
        <w:rPr>
          <w:rFonts w:hint="eastAsia" w:ascii="宋体" w:hAnsi="宋体" w:eastAsia="宋体" w:cs="宋体"/>
          <w:sz w:val="21"/>
          <w:szCs w:val="24"/>
        </w:rPr>
        <w:drawing>
          <wp:inline distT="0" distB="0" distL="114300" distR="114300">
            <wp:extent cx="5260975" cy="2369820"/>
            <wp:effectExtent l="0" t="0" r="15875" b="1143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/>
        <w:jc w:val="center"/>
        <w:rPr>
          <w:rFonts w:hint="eastAsia" w:ascii="宋体" w:hAnsi="宋体" w:eastAsia="宋体" w:cs="宋体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  <w:t>图2.1-6</w:t>
      </w:r>
    </w:p>
    <w:p>
      <w:pPr>
        <w:numPr>
          <w:ilvl w:val="0"/>
          <w:numId w:val="4"/>
        </w:numPr>
        <w:spacing w:line="360" w:lineRule="auto"/>
        <w:ind w:left="0" w:leftChars="0" w:firstLine="0" w:firstLineChars="0"/>
        <w:jc w:val="both"/>
        <w:rPr>
          <w:rFonts w:hint="eastAsia" w:ascii="宋体" w:hAnsi="宋体" w:eastAsia="宋体" w:cs="宋体"/>
          <w:b w:val="0"/>
          <w:bCs w:val="0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2"/>
          <w:szCs w:val="28"/>
          <w:lang w:val="en-US" w:eastAsia="zh-CN"/>
        </w:rPr>
        <w:t>点击“立即登录”之后，系统会提示“请先登录诚信库完善信息！”，确定之后，进入诚信库注册信息填写页面。如下图；</w:t>
      </w: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ascii="宋体" w:hAnsi="宋体" w:eastAsia="宋体" w:cs="宋体"/>
          <w:sz w:val="21"/>
          <w:szCs w:val="24"/>
        </w:rPr>
      </w:pPr>
      <w:r>
        <w:rPr>
          <w:rFonts w:hint="eastAsia" w:ascii="宋体" w:hAnsi="宋体" w:eastAsia="宋体" w:cs="宋体"/>
          <w:sz w:val="21"/>
          <w:szCs w:val="24"/>
        </w:rPr>
        <w:drawing>
          <wp:inline distT="0" distB="0" distL="114300" distR="114300">
            <wp:extent cx="5266690" cy="2419350"/>
            <wp:effectExtent l="0" t="0" r="10160" b="0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/>
        <w:jc w:val="center"/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  <w:t>图2.1-7</w:t>
      </w:r>
    </w:p>
    <w:p>
      <w:pPr>
        <w:spacing w:line="360" w:lineRule="auto"/>
        <w:ind w:left="0" w:leftChars="0" w:firstLine="440" w:firstLineChars="200"/>
        <w:jc w:val="both"/>
        <w:rPr>
          <w:rFonts w:hint="eastAsia" w:ascii="宋体" w:hAnsi="宋体" w:eastAsia="宋体" w:cs="宋体"/>
          <w:b w:val="0"/>
          <w:bCs w:val="0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2"/>
          <w:szCs w:val="28"/>
          <w:lang w:val="en-US" w:eastAsia="zh-CN"/>
        </w:rPr>
        <w:t>填写诚信库信息时需要注意，诚信库注册一定要填写真实、有效、合法的企业或者个人信息，带*号的信息是必填项，填写完成之后需要进行诚信库电子件上传。</w:t>
      </w:r>
    </w:p>
    <w:p>
      <w:pPr>
        <w:spacing w:line="360" w:lineRule="auto"/>
        <w:ind w:left="0" w:leftChars="0" w:firstLine="420" w:firstLineChars="200"/>
        <w:jc w:val="both"/>
        <w:rPr>
          <w:rFonts w:hint="eastAsia" w:ascii="宋体" w:hAnsi="宋体" w:eastAsia="宋体" w:cs="宋体"/>
          <w:sz w:val="21"/>
          <w:szCs w:val="24"/>
        </w:rPr>
      </w:pPr>
      <w:r>
        <w:rPr>
          <w:rFonts w:hint="eastAsia" w:ascii="宋体" w:hAnsi="宋体" w:eastAsia="宋体" w:cs="宋体"/>
          <w:sz w:val="21"/>
          <w:szCs w:val="24"/>
        </w:rPr>
        <w:drawing>
          <wp:inline distT="0" distB="0" distL="114300" distR="114300">
            <wp:extent cx="5256530" cy="1864360"/>
            <wp:effectExtent l="0" t="0" r="1270" b="2540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/>
        <w:jc w:val="center"/>
        <w:rPr>
          <w:rFonts w:hint="eastAsia" w:ascii="宋体" w:hAnsi="宋体" w:eastAsia="宋体" w:cs="宋体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  <w:t>图2.1-8</w:t>
      </w:r>
    </w:p>
    <w:p>
      <w:pPr>
        <w:spacing w:line="360" w:lineRule="auto"/>
        <w:ind w:left="0" w:leftChars="0"/>
        <w:jc w:val="both"/>
        <w:rPr>
          <w:rFonts w:hint="eastAsia" w:ascii="宋体" w:hAnsi="宋体" w:eastAsia="宋体" w:cs="宋体"/>
          <w:b w:val="0"/>
          <w:bCs w:val="0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2"/>
          <w:szCs w:val="28"/>
          <w:lang w:val="en-US" w:eastAsia="zh-CN"/>
        </w:rPr>
        <w:t>5、填写完诚信库信息并上传电子件之后，点击“提交信息”并通过审核，即完成哈尔滨市公共资源交易平台诚信库注册工作。</w:t>
      </w:r>
    </w:p>
    <w:p>
      <w:pPr>
        <w:pStyle w:val="3"/>
        <w:numPr>
          <w:ilvl w:val="2"/>
          <w:numId w:val="0"/>
        </w:numPr>
        <w:bidi w:val="0"/>
        <w:spacing w:line="360" w:lineRule="auto"/>
        <w:ind w:left="0" w:leftChars="0"/>
        <w:outlineLvl w:val="1"/>
        <w:rPr>
          <w:rFonts w:hint="eastAsia" w:ascii="宋体" w:hAnsi="宋体" w:eastAsia="宋体" w:cs="宋体"/>
          <w:sz w:val="32"/>
          <w:szCs w:val="20"/>
          <w:lang w:val="en-US" w:eastAsia="zh-CN"/>
        </w:rPr>
      </w:pPr>
      <w:bookmarkStart w:id="16" w:name="_Toc19617"/>
      <w:r>
        <w:rPr>
          <w:rFonts w:hint="eastAsia" w:ascii="宋体" w:hAnsi="宋体" w:eastAsia="宋体" w:cs="宋体"/>
          <w:sz w:val="32"/>
          <w:szCs w:val="20"/>
          <w:lang w:val="en-US" w:eastAsia="zh-CN"/>
        </w:rPr>
        <w:t>2.2平台登录</w:t>
      </w:r>
      <w:bookmarkEnd w:id="16"/>
    </w:p>
    <w:p>
      <w:pPr>
        <w:numPr>
          <w:ilvl w:val="0"/>
          <w:numId w:val="0"/>
        </w:numPr>
        <w:spacing w:line="360" w:lineRule="auto"/>
        <w:ind w:left="0" w:leftChars="0"/>
        <w:rPr>
          <w:rFonts w:hint="eastAsia" w:ascii="宋体" w:hAnsi="宋体" w:eastAsia="宋体" w:cs="宋体"/>
          <w:sz w:val="22"/>
          <w:szCs w:val="28"/>
        </w:rPr>
      </w:pPr>
      <w:bookmarkStart w:id="17" w:name="_Toc21289_WPSOffice_Level1"/>
      <w:bookmarkStart w:id="18" w:name="_Toc14524_WPSOffice_Level1"/>
      <w:bookmarkStart w:id="19" w:name="_Toc16235"/>
      <w:bookmarkStart w:id="20" w:name="_Toc18109_WPSOffice_Level1"/>
      <w:bookmarkStart w:id="21" w:name="_Toc23637_WPSOffice_Level1"/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1、</w:t>
      </w:r>
      <w:r>
        <w:rPr>
          <w:rFonts w:hint="eastAsia" w:ascii="宋体" w:hAnsi="宋体" w:eastAsia="宋体" w:cs="宋体"/>
          <w:sz w:val="22"/>
          <w:szCs w:val="28"/>
        </w:rPr>
        <w:t>打开“</w:t>
      </w: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哈尔滨市公共资源交易平台</w:t>
      </w:r>
      <w:r>
        <w:rPr>
          <w:rFonts w:hint="eastAsia" w:ascii="宋体" w:hAnsi="宋体" w:eastAsia="宋体" w:cs="宋体"/>
          <w:sz w:val="22"/>
          <w:szCs w:val="28"/>
        </w:rPr>
        <w:t>”，</w:t>
      </w: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在“用户登录”界面，输入自己的账号和密码，然后立即登录，</w:t>
      </w:r>
      <w:r>
        <w:rPr>
          <w:rFonts w:hint="eastAsia" w:ascii="宋体" w:hAnsi="宋体" w:eastAsia="宋体" w:cs="宋体"/>
          <w:sz w:val="22"/>
          <w:szCs w:val="28"/>
        </w:rPr>
        <w:t>如下图：</w:t>
      </w:r>
      <w:bookmarkEnd w:id="17"/>
      <w:bookmarkEnd w:id="18"/>
      <w:bookmarkEnd w:id="19"/>
      <w:bookmarkEnd w:id="20"/>
      <w:bookmarkEnd w:id="21"/>
    </w:p>
    <w:p>
      <w:pPr>
        <w:spacing w:line="360" w:lineRule="auto"/>
        <w:ind w:left="0" w:leftChars="0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drawing>
          <wp:inline distT="0" distB="0" distL="114300" distR="114300">
            <wp:extent cx="5266690" cy="2383790"/>
            <wp:effectExtent l="0" t="0" r="10160" b="1651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/>
        <w:jc w:val="center"/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  <w:t>图2.2-1</w:t>
      </w:r>
    </w:p>
    <w:p>
      <w:pPr>
        <w:numPr>
          <w:ilvl w:val="0"/>
          <w:numId w:val="5"/>
        </w:numPr>
        <w:spacing w:line="360" w:lineRule="auto"/>
        <w:ind w:left="0" w:leftChars="0"/>
        <w:rPr>
          <w:rFonts w:hint="eastAsia" w:ascii="宋体" w:hAnsi="宋体" w:eastAsia="宋体" w:cs="宋体"/>
          <w:sz w:val="22"/>
          <w:szCs w:val="28"/>
        </w:rPr>
      </w:pPr>
      <w:bookmarkStart w:id="22" w:name="_Toc5429_WPSOffice_Level1"/>
      <w:bookmarkStart w:id="23" w:name="_Toc4935_WPSOffice_Level1"/>
      <w:bookmarkStart w:id="24" w:name="_Toc10293_WPSOffice_Level1"/>
      <w:bookmarkStart w:id="25" w:name="_Toc23410"/>
      <w:bookmarkStart w:id="26" w:name="_Toc12387_WPSOffice_Level1"/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进入交易平台之后，建议立即修改密码，以保证账号的使用安全。</w:t>
      </w:r>
    </w:p>
    <w:p>
      <w:pPr>
        <w:numPr>
          <w:ilvl w:val="0"/>
          <w:numId w:val="0"/>
        </w:numPr>
        <w:spacing w:line="360" w:lineRule="auto"/>
        <w:ind w:left="0" w:leftChars="0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drawing>
          <wp:inline distT="0" distB="0" distL="114300" distR="114300">
            <wp:extent cx="5266055" cy="1868805"/>
            <wp:effectExtent l="0" t="0" r="10795" b="1714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/>
        <w:jc w:val="center"/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  <w:t>图2.2-2</w:t>
      </w:r>
    </w:p>
    <w:p>
      <w:pPr>
        <w:pStyle w:val="3"/>
        <w:numPr>
          <w:ilvl w:val="2"/>
          <w:numId w:val="0"/>
        </w:numPr>
        <w:bidi w:val="0"/>
        <w:spacing w:line="360" w:lineRule="auto"/>
        <w:ind w:left="0" w:leftChars="0"/>
        <w:outlineLvl w:val="1"/>
        <w:rPr>
          <w:rFonts w:hint="eastAsia" w:ascii="宋体" w:hAnsi="宋体" w:eastAsia="宋体" w:cs="宋体"/>
          <w:sz w:val="32"/>
          <w:szCs w:val="20"/>
          <w:lang w:val="en-US" w:eastAsia="zh-CN"/>
        </w:rPr>
      </w:pPr>
      <w:bookmarkStart w:id="27" w:name="_Toc20257"/>
      <w:r>
        <w:rPr>
          <w:rFonts w:hint="eastAsia" w:ascii="宋体" w:hAnsi="宋体" w:eastAsia="宋体" w:cs="宋体"/>
          <w:sz w:val="32"/>
          <w:szCs w:val="20"/>
          <w:lang w:val="en-US" w:eastAsia="zh-CN"/>
        </w:rPr>
        <w:t>2.3菜单介绍</w:t>
      </w:r>
      <w:bookmarkEnd w:id="27"/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登录交易平台之后，可以看到首页的功能栏主要有以下几个构成：【披露信息】、【多标的报名】、【我的项目】、【成交项目】、【单位信息】构成。</w:t>
      </w:r>
    </w:p>
    <w:p>
      <w:pPr>
        <w:numPr>
          <w:ilvl w:val="0"/>
          <w:numId w:val="6"/>
        </w:num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【信息披露】是项目在发布公告之后，在信息披露期可以报名的项目。</w:t>
      </w:r>
    </w:p>
    <w:p>
      <w:pPr>
        <w:numPr>
          <w:ilvl w:val="0"/>
          <w:numId w:val="6"/>
        </w:num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【多标的报名】是针对“实物资产交易”、“农村实物资产”、“出租车经营权业务”等项目中包含多个标的的公告报名项目。</w:t>
      </w:r>
    </w:p>
    <w:p>
      <w:pPr>
        <w:numPr>
          <w:ilvl w:val="0"/>
          <w:numId w:val="6"/>
        </w:num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【我的项目】是展示当前账号中已经报名的项目。</w:t>
      </w:r>
    </w:p>
    <w:p>
      <w:pPr>
        <w:numPr>
          <w:ilvl w:val="0"/>
          <w:numId w:val="6"/>
        </w:num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【成交项目】展示的是当前账号已经成交的项目</w:t>
      </w:r>
    </w:p>
    <w:p>
      <w:pPr>
        <w:numPr>
          <w:ilvl w:val="0"/>
          <w:numId w:val="6"/>
        </w:num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【单位信息】展示的是诚信库注册信息页面。</w:t>
      </w:r>
    </w:p>
    <w:p>
      <w:pPr>
        <w:spacing w:line="360" w:lineRule="auto"/>
        <w:ind w:firstLine="420" w:firstLineChars="200"/>
        <w:rPr>
          <w:rFonts w:hint="eastAsia" w:ascii="宋体" w:hAnsi="宋体" w:eastAsia="宋体" w:cs="宋体"/>
          <w:sz w:val="21"/>
          <w:szCs w:val="24"/>
        </w:rPr>
      </w:pPr>
      <w:r>
        <w:rPr>
          <w:rFonts w:hint="eastAsia" w:ascii="宋体" w:hAnsi="宋体" w:eastAsia="宋体" w:cs="宋体"/>
          <w:sz w:val="21"/>
          <w:szCs w:val="24"/>
        </w:rPr>
        <w:drawing>
          <wp:inline distT="0" distB="0" distL="114300" distR="114300">
            <wp:extent cx="5274310" cy="2496820"/>
            <wp:effectExtent l="0" t="0" r="2540" b="17780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/>
        <w:jc w:val="center"/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  <w:t>图2.3-1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并且在交易平台中，可以根据对应业务条线进行查看项目的功能，在页面右侧有模糊字段查询功能，便于项目的搜索查询。</w:t>
      </w:r>
    </w:p>
    <w:bookmarkEnd w:id="22"/>
    <w:bookmarkEnd w:id="23"/>
    <w:bookmarkEnd w:id="24"/>
    <w:bookmarkEnd w:id="25"/>
    <w:bookmarkEnd w:id="26"/>
    <w:p>
      <w:pPr>
        <w:pStyle w:val="2"/>
        <w:numPr>
          <w:ilvl w:val="0"/>
          <w:numId w:val="2"/>
        </w:numPr>
        <w:spacing w:line="360" w:lineRule="auto"/>
        <w:ind w:left="0" w:leftChars="0" w:firstLine="0" w:firstLineChars="0"/>
        <w:outlineLvl w:val="0"/>
        <w:rPr>
          <w:rFonts w:hint="eastAsia" w:ascii="宋体" w:hAnsi="宋体" w:eastAsia="宋体" w:cs="宋体"/>
          <w:sz w:val="28"/>
          <w:szCs w:val="32"/>
          <w:lang w:val="en-US" w:eastAsia="zh-CN"/>
        </w:rPr>
      </w:pPr>
      <w:bookmarkStart w:id="28" w:name="_Toc31497"/>
      <w:r>
        <w:rPr>
          <w:rFonts w:hint="eastAsia" w:ascii="宋体" w:hAnsi="宋体" w:eastAsia="宋体" w:cs="宋体"/>
          <w:sz w:val="28"/>
          <w:szCs w:val="32"/>
          <w:lang w:val="en-US" w:eastAsia="zh-CN"/>
        </w:rPr>
        <w:t>竞买人报名竞价流程</w:t>
      </w:r>
      <w:bookmarkEnd w:id="28"/>
    </w:p>
    <w:p>
      <w:pPr>
        <w:spacing w:line="360" w:lineRule="auto"/>
        <w:jc w:val="center"/>
        <w:rPr>
          <w:rFonts w:hint="eastAsia" w:ascii="宋体" w:hAnsi="宋体" w:eastAsia="宋体" w:cs="宋体"/>
          <w:sz w:val="21"/>
          <w:szCs w:val="24"/>
        </w:rPr>
      </w:pPr>
      <w:r>
        <w:rPr>
          <w:rFonts w:hint="eastAsia" w:ascii="宋体" w:hAnsi="宋体" w:eastAsia="宋体" w:cs="宋体"/>
          <w:sz w:val="21"/>
          <w:szCs w:val="24"/>
        </w:rPr>
        <w:drawing>
          <wp:inline distT="0" distB="0" distL="0" distR="0">
            <wp:extent cx="3945255" cy="4349115"/>
            <wp:effectExtent l="0" t="0" r="17145" b="13335"/>
            <wp:docPr id="13" name="图片 13" descr="C:\Users\Administrator\Documents\Tencent Files\1164520506\Image\C2C\9I1$Z{(WT7A5OD%BBTEBBF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istrator\Documents\Tencent Files\1164520506\Image\C2C\9I1$Z{(WT7A5OD%BBTEBBFG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1168" cy="436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420" w:firstLineChars="0"/>
        <w:jc w:val="center"/>
        <w:rPr>
          <w:rFonts w:hint="eastAsia" w:ascii="宋体" w:hAnsi="宋体" w:eastAsia="宋体" w:cs="宋体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  <w:t>图3-1</w:t>
      </w:r>
    </w:p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</w:pPr>
    </w:p>
    <w:p>
      <w:pPr>
        <w:pStyle w:val="3"/>
        <w:numPr>
          <w:ilvl w:val="2"/>
          <w:numId w:val="0"/>
        </w:numPr>
        <w:bidi w:val="0"/>
        <w:spacing w:line="360" w:lineRule="auto"/>
        <w:ind w:left="0" w:leftChars="0"/>
        <w:outlineLvl w:val="1"/>
        <w:rPr>
          <w:rFonts w:hint="eastAsia" w:ascii="宋体" w:hAnsi="宋体" w:eastAsia="宋体" w:cs="宋体"/>
          <w:sz w:val="32"/>
          <w:szCs w:val="32"/>
        </w:rPr>
      </w:pPr>
      <w:bookmarkStart w:id="29" w:name="_Toc536776515"/>
      <w:bookmarkStart w:id="30" w:name="_Toc10123304"/>
      <w:bookmarkStart w:id="31" w:name="_Toc536776739"/>
      <w:bookmarkStart w:id="32" w:name="_Toc536775838"/>
      <w:bookmarkStart w:id="33" w:name="_Toc25994"/>
      <w:r>
        <w:rPr>
          <w:rFonts w:hint="eastAsia" w:ascii="宋体" w:hAnsi="宋体" w:eastAsia="宋体" w:cs="宋体"/>
          <w:sz w:val="32"/>
          <w:szCs w:val="32"/>
        </w:rPr>
        <w:t>3.1报名操作</w:t>
      </w:r>
      <w:bookmarkEnd w:id="29"/>
      <w:bookmarkEnd w:id="30"/>
      <w:bookmarkEnd w:id="31"/>
      <w:bookmarkEnd w:id="32"/>
      <w:bookmarkEnd w:id="33"/>
    </w:p>
    <w:p>
      <w:pPr>
        <w:spacing w:line="360" w:lineRule="auto"/>
        <w:ind w:firstLine="482" w:firstLineChars="200"/>
        <w:outlineLvl w:val="2"/>
        <w:rPr>
          <w:rFonts w:hint="eastAsia" w:ascii="宋体" w:hAnsi="宋体" w:eastAsia="宋体" w:cs="宋体"/>
          <w:b/>
          <w:bCs/>
          <w:sz w:val="24"/>
          <w:szCs w:val="24"/>
        </w:rPr>
      </w:pPr>
      <w:bookmarkStart w:id="34" w:name="_Toc10123305"/>
      <w:r>
        <w:rPr>
          <w:rFonts w:hint="eastAsia" w:ascii="宋体" w:hAnsi="宋体" w:eastAsia="宋体" w:cs="宋体"/>
          <w:b/>
          <w:bCs/>
          <w:sz w:val="24"/>
          <w:szCs w:val="24"/>
        </w:rPr>
        <w:t>3.1.1选择标的报名</w:t>
      </w:r>
      <w:bookmarkEnd w:id="34"/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1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点击【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信息披露</w:t>
      </w:r>
      <w:r>
        <w:rPr>
          <w:rFonts w:hint="eastAsia" w:ascii="宋体" w:hAnsi="宋体" w:eastAsia="宋体" w:cs="宋体"/>
          <w:sz w:val="24"/>
          <w:szCs w:val="24"/>
        </w:rPr>
        <w:t>】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选择相应的业务条线，点击</w:t>
      </w:r>
      <w:r>
        <w:rPr>
          <w:rFonts w:hint="eastAsia" w:ascii="宋体" w:hAnsi="宋体" w:eastAsia="宋体" w:cs="宋体"/>
          <w:sz w:val="24"/>
          <w:szCs w:val="24"/>
        </w:rPr>
        <w:t>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我要报名</w:t>
      </w:r>
      <w:r>
        <w:rPr>
          <w:rFonts w:hint="eastAsia" w:ascii="宋体" w:hAnsi="宋体" w:eastAsia="宋体" w:cs="宋体"/>
          <w:sz w:val="24"/>
          <w:szCs w:val="24"/>
        </w:rPr>
        <w:t>】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spacing w:line="360" w:lineRule="auto"/>
        <w:rPr>
          <w:rFonts w:hint="eastAsia" w:ascii="宋体" w:hAnsi="宋体" w:eastAsia="宋体" w:cs="宋体"/>
          <w:sz w:val="21"/>
          <w:szCs w:val="24"/>
        </w:rPr>
      </w:pPr>
      <w:r>
        <w:rPr>
          <w:rFonts w:hint="eastAsia" w:ascii="宋体" w:hAnsi="宋体" w:eastAsia="宋体" w:cs="宋体"/>
          <w:sz w:val="21"/>
          <w:szCs w:val="24"/>
        </w:rPr>
        <w:drawing>
          <wp:inline distT="0" distB="0" distL="114300" distR="114300">
            <wp:extent cx="5263515" cy="1957070"/>
            <wp:effectExtent l="0" t="0" r="13335" b="508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9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420" w:firstLineChars="0"/>
        <w:jc w:val="center"/>
        <w:rPr>
          <w:rFonts w:hint="eastAsia" w:ascii="宋体" w:hAnsi="宋体" w:eastAsia="宋体" w:cs="宋体"/>
          <w:sz w:val="21"/>
          <w:szCs w:val="24"/>
        </w:rPr>
      </w:pPr>
      <w:r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  <w:t>图3.1-1</w:t>
      </w:r>
    </w:p>
    <w:p>
      <w:pPr>
        <w:pStyle w:val="3"/>
        <w:numPr>
          <w:ilvl w:val="2"/>
          <w:numId w:val="0"/>
        </w:numPr>
        <w:bidi w:val="0"/>
        <w:spacing w:line="360" w:lineRule="auto"/>
        <w:ind w:left="0" w:leftChars="0"/>
        <w:outlineLvl w:val="1"/>
        <w:rPr>
          <w:rFonts w:hint="eastAsia" w:ascii="宋体" w:hAnsi="宋体" w:eastAsia="宋体" w:cs="宋体"/>
          <w:sz w:val="32"/>
          <w:szCs w:val="32"/>
        </w:rPr>
      </w:pPr>
      <w:bookmarkStart w:id="35" w:name="_Toc536775839"/>
      <w:bookmarkStart w:id="36" w:name="_Toc536776516"/>
      <w:bookmarkStart w:id="37" w:name="_Toc536776740"/>
      <w:bookmarkStart w:id="38" w:name="_Toc10123306"/>
      <w:bookmarkStart w:id="39" w:name="_Toc523"/>
      <w:r>
        <w:rPr>
          <w:rFonts w:hint="eastAsia" w:ascii="宋体" w:hAnsi="宋体" w:eastAsia="宋体" w:cs="宋体"/>
          <w:sz w:val="32"/>
          <w:szCs w:val="32"/>
        </w:rPr>
        <w:t>3.2报名信息</w:t>
      </w:r>
      <w:bookmarkEnd w:id="35"/>
      <w:bookmarkEnd w:id="36"/>
      <w:bookmarkEnd w:id="37"/>
      <w:bookmarkEnd w:id="38"/>
      <w:bookmarkEnd w:id="39"/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40" w:name="_Toc10123307"/>
      <w:r>
        <w:rPr>
          <w:rFonts w:hint="eastAsia" w:ascii="宋体" w:hAnsi="宋体" w:eastAsia="宋体" w:cs="宋体"/>
          <w:sz w:val="24"/>
          <w:szCs w:val="24"/>
        </w:rPr>
        <w:t>3.2.1</w:t>
      </w:r>
      <w:bookmarkEnd w:id="40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填写信息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按照上面的报名流程，进行报名，阅读【交易规则】--》》选择【竞买方式】--》》选择【单独申请】或者【联合申请】--》》填写【竞买申请书】--》》【选择缴纳保证金银行】--》》【获得保证金账号】</w:t>
      </w:r>
    </w:p>
    <w:p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  <w:t>阅读交易规则页面</w:t>
      </w:r>
    </w:p>
    <w:p>
      <w:pPr>
        <w:spacing w:line="360" w:lineRule="auto"/>
        <w:rPr>
          <w:rFonts w:hint="eastAsia" w:ascii="宋体" w:hAnsi="宋体" w:eastAsia="宋体" w:cs="宋体"/>
          <w:sz w:val="21"/>
          <w:szCs w:val="24"/>
        </w:rPr>
      </w:pPr>
      <w:r>
        <w:rPr>
          <w:rFonts w:hint="eastAsia" w:ascii="宋体" w:hAnsi="宋体" w:eastAsia="宋体" w:cs="宋体"/>
          <w:sz w:val="21"/>
          <w:szCs w:val="24"/>
        </w:rPr>
        <w:drawing>
          <wp:inline distT="0" distB="0" distL="114300" distR="114300">
            <wp:extent cx="5266690" cy="2353945"/>
            <wp:effectExtent l="0" t="0" r="10160" b="8255"/>
            <wp:docPr id="2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420" w:firstLineChars="0"/>
        <w:jc w:val="center"/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  <w:t>图3.2-1</w:t>
      </w:r>
    </w:p>
    <w:p>
      <w:pPr>
        <w:numPr>
          <w:ilvl w:val="0"/>
          <w:numId w:val="0"/>
        </w:numPr>
        <w:spacing w:line="360" w:lineRule="auto"/>
        <w:ind w:firstLine="420" w:firstLineChars="0"/>
        <w:jc w:val="both"/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  <w:t>获取保证金子账号</w:t>
      </w:r>
    </w:p>
    <w:p>
      <w:pPr>
        <w:spacing w:line="360" w:lineRule="auto"/>
        <w:rPr>
          <w:rFonts w:hint="eastAsia" w:ascii="宋体" w:hAnsi="宋体" w:eastAsia="宋体" w:cs="宋体"/>
          <w:sz w:val="21"/>
          <w:szCs w:val="24"/>
        </w:rPr>
      </w:pPr>
      <w:r>
        <w:rPr>
          <w:rFonts w:hint="eastAsia" w:ascii="宋体" w:hAnsi="宋体" w:eastAsia="宋体" w:cs="宋体"/>
          <w:sz w:val="21"/>
          <w:szCs w:val="24"/>
        </w:rPr>
        <w:drawing>
          <wp:inline distT="0" distB="0" distL="114300" distR="114300">
            <wp:extent cx="5257800" cy="1900555"/>
            <wp:effectExtent l="0" t="0" r="0" b="4445"/>
            <wp:docPr id="3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420" w:firstLineChars="0"/>
        <w:jc w:val="center"/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  <w:t>图3.2-2</w:t>
      </w:r>
    </w:p>
    <w:p>
      <w:pPr>
        <w:pStyle w:val="3"/>
        <w:numPr>
          <w:ilvl w:val="2"/>
          <w:numId w:val="0"/>
        </w:numPr>
        <w:bidi w:val="0"/>
        <w:spacing w:line="360" w:lineRule="auto"/>
        <w:ind w:left="0" w:leftChars="0"/>
        <w:outlineLvl w:val="1"/>
        <w:rPr>
          <w:rFonts w:hint="eastAsia" w:ascii="宋体" w:hAnsi="宋体" w:eastAsia="宋体" w:cs="宋体"/>
          <w:sz w:val="32"/>
          <w:szCs w:val="32"/>
        </w:rPr>
      </w:pPr>
      <w:bookmarkStart w:id="41" w:name="_Toc536776741"/>
      <w:bookmarkStart w:id="42" w:name="_Toc10123311"/>
      <w:bookmarkStart w:id="43" w:name="_Toc536776517"/>
      <w:bookmarkStart w:id="44" w:name="_Toc536775840"/>
      <w:bookmarkStart w:id="45" w:name="_Toc25712"/>
      <w:r>
        <w:rPr>
          <w:rFonts w:hint="eastAsia" w:ascii="宋体" w:hAnsi="宋体" w:eastAsia="宋体" w:cs="宋体"/>
          <w:sz w:val="32"/>
          <w:szCs w:val="32"/>
        </w:rPr>
        <w:t>3.3保证金缴纳</w:t>
      </w:r>
      <w:bookmarkEnd w:id="41"/>
      <w:bookmarkEnd w:id="42"/>
      <w:bookmarkEnd w:id="43"/>
      <w:bookmarkEnd w:id="44"/>
      <w:bookmarkEnd w:id="45"/>
    </w:p>
    <w:p>
      <w:pPr>
        <w:spacing w:line="360" w:lineRule="auto"/>
        <w:outlineLvl w:val="2"/>
        <w:rPr>
          <w:rFonts w:hint="eastAsia" w:ascii="宋体" w:hAnsi="宋体" w:eastAsia="宋体" w:cs="宋体"/>
          <w:b/>
          <w:bCs/>
          <w:sz w:val="24"/>
          <w:szCs w:val="24"/>
        </w:rPr>
      </w:pPr>
      <w:bookmarkStart w:id="46" w:name="_Toc10123312"/>
      <w:r>
        <w:rPr>
          <w:rFonts w:hint="eastAsia" w:ascii="宋体" w:hAnsi="宋体" w:eastAsia="宋体" w:cs="宋体"/>
          <w:b/>
          <w:bCs/>
          <w:sz w:val="24"/>
          <w:szCs w:val="24"/>
        </w:rPr>
        <w:t>3.3.1缴纳保证金</w:t>
      </w:r>
      <w:bookmarkEnd w:id="46"/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报名成功之后，根据系统生成的子账号，缴纳足额的保证金，也可以查看自己是否已缴纳足够。</w:t>
      </w:r>
    </w:p>
    <w:p>
      <w:pPr>
        <w:numPr>
          <w:ilvl w:val="0"/>
          <w:numId w:val="0"/>
        </w:numPr>
        <w:spacing w:line="360" w:lineRule="auto"/>
        <w:ind w:firstLine="420" w:firstLineChars="0"/>
        <w:jc w:val="center"/>
        <w:rPr>
          <w:rFonts w:hint="eastAsia" w:ascii="宋体" w:hAnsi="宋体" w:eastAsia="宋体" w:cs="宋体"/>
          <w:sz w:val="21"/>
          <w:szCs w:val="24"/>
        </w:rPr>
      </w:pPr>
      <w:r>
        <w:rPr>
          <w:rFonts w:hint="eastAsia" w:ascii="宋体" w:hAnsi="宋体" w:eastAsia="宋体" w:cs="宋体"/>
          <w:sz w:val="21"/>
          <w:szCs w:val="24"/>
        </w:rPr>
        <w:drawing>
          <wp:inline distT="0" distB="0" distL="114300" distR="114300">
            <wp:extent cx="5257800" cy="1900555"/>
            <wp:effectExtent l="0" t="0" r="0" b="4445"/>
            <wp:docPr id="3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  <w:t>图3.3-1</w:t>
      </w:r>
    </w:p>
    <w:p>
      <w:pPr>
        <w:spacing w:line="360" w:lineRule="auto"/>
        <w:outlineLvl w:val="2"/>
        <w:rPr>
          <w:rFonts w:hint="eastAsia" w:ascii="宋体" w:hAnsi="宋体" w:eastAsia="宋体" w:cs="宋体"/>
          <w:b/>
          <w:bCs/>
          <w:sz w:val="24"/>
          <w:szCs w:val="24"/>
        </w:rPr>
      </w:pPr>
      <w:bookmarkStart w:id="47" w:name="_Toc10123315"/>
      <w:r>
        <w:rPr>
          <w:rFonts w:hint="eastAsia" w:ascii="宋体" w:hAnsi="宋体" w:eastAsia="宋体" w:cs="宋体"/>
          <w:b/>
          <w:bCs/>
          <w:sz w:val="24"/>
          <w:szCs w:val="24"/>
        </w:rPr>
        <w:t>3.3.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查询缴纳情况</w:t>
      </w:r>
      <w:bookmarkEnd w:id="47"/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1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显示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缴纳有效</w:t>
      </w:r>
    </w:p>
    <w:p>
      <w:pPr>
        <w:spacing w:line="360" w:lineRule="auto"/>
        <w:jc w:val="center"/>
        <w:rPr>
          <w:rFonts w:hint="eastAsia" w:ascii="宋体" w:hAnsi="宋体" w:eastAsia="宋体" w:cs="宋体"/>
          <w:sz w:val="21"/>
          <w:szCs w:val="24"/>
        </w:rPr>
      </w:pPr>
      <w:r>
        <w:rPr>
          <w:rFonts w:hint="eastAsia" w:ascii="宋体" w:hAnsi="宋体" w:eastAsia="宋体" w:cs="宋体"/>
          <w:sz w:val="21"/>
          <w:szCs w:val="24"/>
        </w:rPr>
        <w:drawing>
          <wp:inline distT="0" distB="0" distL="114300" distR="114300">
            <wp:extent cx="5259070" cy="2093595"/>
            <wp:effectExtent l="0" t="0" r="17780" b="1905"/>
            <wp:docPr id="3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09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  <w:t>图3.3-2</w:t>
      </w:r>
    </w:p>
    <w:p>
      <w:pPr>
        <w:pStyle w:val="3"/>
        <w:numPr>
          <w:ilvl w:val="2"/>
          <w:numId w:val="0"/>
        </w:numPr>
        <w:bidi w:val="0"/>
        <w:spacing w:line="360" w:lineRule="auto"/>
        <w:ind w:left="0" w:leftChars="0"/>
        <w:outlineLvl w:val="1"/>
        <w:rPr>
          <w:rFonts w:hint="eastAsia" w:ascii="宋体" w:hAnsi="宋体" w:eastAsia="宋体" w:cs="宋体"/>
          <w:sz w:val="32"/>
          <w:szCs w:val="21"/>
          <w:lang w:eastAsia="zh-CN"/>
        </w:rPr>
      </w:pPr>
      <w:bookmarkStart w:id="48" w:name="_Toc10123316"/>
      <w:bookmarkStart w:id="49" w:name="_Toc536776742"/>
      <w:bookmarkStart w:id="50" w:name="_Toc536776518"/>
      <w:bookmarkStart w:id="51" w:name="_Toc536775841"/>
      <w:bookmarkStart w:id="52" w:name="_Toc29109"/>
      <w:r>
        <w:rPr>
          <w:rFonts w:hint="eastAsia" w:ascii="宋体" w:hAnsi="宋体" w:eastAsia="宋体" w:cs="宋体"/>
          <w:sz w:val="32"/>
          <w:szCs w:val="21"/>
        </w:rPr>
        <w:t>3.4</w:t>
      </w:r>
      <w:bookmarkEnd w:id="48"/>
      <w:bookmarkEnd w:id="49"/>
      <w:bookmarkEnd w:id="50"/>
      <w:bookmarkEnd w:id="51"/>
      <w:r>
        <w:rPr>
          <w:rFonts w:hint="eastAsia" w:ascii="宋体" w:hAnsi="宋体" w:eastAsia="宋体" w:cs="宋体"/>
          <w:sz w:val="32"/>
          <w:szCs w:val="21"/>
          <w:lang w:val="en-US" w:eastAsia="zh-CN"/>
        </w:rPr>
        <w:t>我要报价</w:t>
      </w:r>
      <w:bookmarkEnd w:id="52"/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根据公告时间，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在竞价时间内，点击【我要报价】</w:t>
      </w:r>
    </w:p>
    <w:p>
      <w:pPr>
        <w:spacing w:line="360" w:lineRule="auto"/>
        <w:ind w:firstLine="420" w:firstLineChars="200"/>
        <w:rPr>
          <w:rFonts w:hint="eastAsia" w:ascii="宋体" w:hAnsi="宋体" w:eastAsia="宋体" w:cs="宋体"/>
          <w:sz w:val="21"/>
          <w:szCs w:val="24"/>
        </w:rPr>
      </w:pPr>
      <w:r>
        <w:rPr>
          <w:rFonts w:hint="eastAsia" w:ascii="宋体" w:hAnsi="宋体" w:eastAsia="宋体" w:cs="宋体"/>
          <w:sz w:val="21"/>
          <w:szCs w:val="24"/>
        </w:rPr>
        <w:drawing>
          <wp:inline distT="0" distB="0" distL="114300" distR="114300">
            <wp:extent cx="5266690" cy="2304415"/>
            <wp:effectExtent l="0" t="0" r="10160" b="635"/>
            <wp:docPr id="3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0"/>
        <w:jc w:val="center"/>
        <w:rPr>
          <w:rFonts w:hint="eastAsia" w:ascii="宋体" w:hAnsi="宋体" w:eastAsia="宋体" w:cs="宋体"/>
          <w:sz w:val="21"/>
          <w:szCs w:val="24"/>
        </w:rPr>
      </w:pPr>
      <w:r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  <w:t>图3.4-1</w:t>
      </w:r>
    </w:p>
    <w:p>
      <w:pPr>
        <w:pStyle w:val="3"/>
        <w:numPr>
          <w:ilvl w:val="2"/>
          <w:numId w:val="0"/>
        </w:numPr>
        <w:bidi w:val="0"/>
        <w:spacing w:line="360" w:lineRule="auto"/>
        <w:ind w:left="0" w:leftChars="0"/>
        <w:outlineLvl w:val="1"/>
        <w:rPr>
          <w:rFonts w:hint="eastAsia" w:ascii="宋体" w:hAnsi="宋体" w:eastAsia="宋体" w:cs="宋体"/>
          <w:sz w:val="32"/>
          <w:szCs w:val="21"/>
        </w:rPr>
      </w:pPr>
      <w:bookmarkStart w:id="53" w:name="_Toc10123317"/>
      <w:bookmarkStart w:id="54" w:name="_Toc536776519"/>
      <w:bookmarkStart w:id="55" w:name="_Toc536776743"/>
      <w:bookmarkStart w:id="56" w:name="_Toc22521"/>
      <w:r>
        <w:rPr>
          <w:rFonts w:hint="eastAsia" w:ascii="宋体" w:hAnsi="宋体" w:eastAsia="宋体" w:cs="宋体"/>
          <w:sz w:val="32"/>
          <w:szCs w:val="21"/>
        </w:rPr>
        <w:t>3.5电子竞价风险风险告知及接受确认书</w:t>
      </w:r>
      <w:bookmarkEnd w:id="53"/>
      <w:bookmarkEnd w:id="54"/>
      <w:bookmarkEnd w:id="55"/>
      <w:bookmarkEnd w:id="56"/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1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勾选【我已看过】，点击【同意】</w:t>
      </w:r>
    </w:p>
    <w:p>
      <w:pPr>
        <w:spacing w:line="360" w:lineRule="auto"/>
        <w:rPr>
          <w:rFonts w:hint="eastAsia" w:ascii="宋体" w:hAnsi="宋体" w:eastAsia="宋体" w:cs="宋体"/>
          <w:sz w:val="21"/>
          <w:szCs w:val="24"/>
        </w:rPr>
      </w:pPr>
      <w:r>
        <w:rPr>
          <w:rFonts w:hint="eastAsia" w:ascii="宋体" w:hAnsi="宋体" w:eastAsia="宋体" w:cs="宋体"/>
          <w:sz w:val="21"/>
          <w:szCs w:val="24"/>
        </w:rPr>
        <w:drawing>
          <wp:inline distT="0" distB="0" distL="114300" distR="114300">
            <wp:extent cx="5267325" cy="3185160"/>
            <wp:effectExtent l="0" t="0" r="9525" b="1524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0"/>
        <w:jc w:val="center"/>
        <w:rPr>
          <w:rFonts w:hint="eastAsia" w:ascii="宋体" w:hAnsi="宋体" w:eastAsia="宋体" w:cs="宋体"/>
          <w:sz w:val="21"/>
          <w:szCs w:val="24"/>
        </w:rPr>
      </w:pPr>
      <w:r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  <w:t>图3.5-1</w:t>
      </w:r>
    </w:p>
    <w:p>
      <w:pPr>
        <w:spacing w:line="360" w:lineRule="auto"/>
        <w:ind w:left="0" w:leftChars="0" w:firstLine="0" w:firstLineChars="0"/>
        <w:rPr>
          <w:rFonts w:hint="eastAsia" w:ascii="宋体" w:hAnsi="宋体" w:eastAsia="宋体" w:cs="宋体"/>
          <w:sz w:val="21"/>
          <w:szCs w:val="24"/>
        </w:rPr>
      </w:pPr>
    </w:p>
    <w:p>
      <w:pPr>
        <w:pStyle w:val="3"/>
        <w:numPr>
          <w:ilvl w:val="2"/>
          <w:numId w:val="0"/>
        </w:numPr>
        <w:bidi w:val="0"/>
        <w:spacing w:line="360" w:lineRule="auto"/>
        <w:ind w:left="0" w:leftChars="0"/>
        <w:outlineLvl w:val="1"/>
        <w:rPr>
          <w:rFonts w:hint="eastAsia" w:ascii="宋体" w:hAnsi="宋体" w:eastAsia="宋体" w:cs="宋体"/>
          <w:sz w:val="32"/>
          <w:szCs w:val="21"/>
          <w:lang w:val="en-US" w:eastAsia="zh-CN"/>
        </w:rPr>
      </w:pPr>
      <w:bookmarkStart w:id="57" w:name="_Toc14498"/>
      <w:bookmarkStart w:id="58" w:name="_Toc10123318"/>
      <w:r>
        <w:rPr>
          <w:rFonts w:hint="eastAsia" w:ascii="宋体" w:hAnsi="宋体" w:eastAsia="宋体" w:cs="宋体"/>
          <w:sz w:val="32"/>
          <w:szCs w:val="21"/>
        </w:rPr>
        <w:t>3.6</w:t>
      </w:r>
      <w:r>
        <w:rPr>
          <w:rFonts w:hint="eastAsia" w:ascii="宋体" w:hAnsi="宋体" w:eastAsia="宋体" w:cs="宋体"/>
          <w:sz w:val="32"/>
          <w:szCs w:val="21"/>
          <w:lang w:val="en-US" w:eastAsia="zh-CN"/>
        </w:rPr>
        <w:t>开始报价</w:t>
      </w:r>
      <w:bookmarkEnd w:id="57"/>
    </w:p>
    <w:p>
      <w:pPr>
        <w:spacing w:line="360" w:lineRule="auto"/>
        <w:rPr>
          <w:rFonts w:hint="eastAsia" w:ascii="宋体" w:hAnsi="宋体" w:eastAsia="宋体" w:cs="宋体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4"/>
          <w:lang w:val="en-US" w:eastAsia="zh-CN"/>
        </w:rPr>
        <w:t>进入竞价系统之后，可以进行“快速报价（默认一倍进行竞价）”；还可以点击上面的倍数进行多倍报价，点击想要选择的倍数，然后点击“提交报价”。每次报价都会展示竞价后的交易服务费，在报价时可以及时查看需要交纳的服务费</w:t>
      </w:r>
    </w:p>
    <w:bookmarkEnd w:id="58"/>
    <w:p>
      <w:pPr>
        <w:spacing w:line="360" w:lineRule="auto"/>
        <w:rPr>
          <w:rFonts w:hint="eastAsia" w:ascii="宋体" w:hAnsi="宋体" w:eastAsia="宋体" w:cs="宋体"/>
          <w:color w:val="FF0000"/>
          <w:sz w:val="21"/>
          <w:szCs w:val="24"/>
        </w:rPr>
      </w:pPr>
      <w:r>
        <w:rPr>
          <w:rFonts w:hint="eastAsia" w:ascii="宋体" w:hAnsi="宋体" w:eastAsia="宋体" w:cs="宋体"/>
          <w:sz w:val="21"/>
          <w:szCs w:val="24"/>
        </w:rPr>
        <w:drawing>
          <wp:inline distT="0" distB="0" distL="114300" distR="114300">
            <wp:extent cx="5272405" cy="3409950"/>
            <wp:effectExtent l="0" t="0" r="4445" b="0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0"/>
        <w:jc w:val="center"/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  <w:t>图3.6-1</w:t>
      </w:r>
    </w:p>
    <w:p>
      <w:pPr>
        <w:spacing w:line="360" w:lineRule="auto"/>
        <w:rPr>
          <w:rFonts w:hint="eastAsia" w:ascii="宋体" w:hAnsi="宋体" w:eastAsia="宋体" w:cs="宋体"/>
          <w:sz w:val="21"/>
          <w:szCs w:val="24"/>
        </w:rPr>
      </w:pPr>
    </w:p>
    <w:p>
      <w:pPr>
        <w:pStyle w:val="3"/>
        <w:numPr>
          <w:ilvl w:val="2"/>
          <w:numId w:val="0"/>
        </w:numPr>
        <w:bidi w:val="0"/>
        <w:spacing w:line="360" w:lineRule="auto"/>
        <w:ind w:left="0" w:leftChars="0"/>
        <w:outlineLvl w:val="1"/>
        <w:rPr>
          <w:rFonts w:hint="eastAsia" w:ascii="宋体" w:hAnsi="宋体" w:eastAsia="宋体" w:cs="宋体"/>
          <w:sz w:val="32"/>
          <w:szCs w:val="21"/>
          <w:lang w:val="en-US" w:eastAsia="zh-CN"/>
        </w:rPr>
      </w:pPr>
      <w:bookmarkStart w:id="59" w:name="_Toc25400"/>
      <w:r>
        <w:rPr>
          <w:rFonts w:hint="eastAsia" w:ascii="宋体" w:hAnsi="宋体" w:eastAsia="宋体" w:cs="宋体"/>
          <w:sz w:val="32"/>
          <w:szCs w:val="21"/>
          <w:lang w:val="en-US" w:eastAsia="zh-CN"/>
        </w:rPr>
        <w:t>3.7项目成交</w:t>
      </w:r>
      <w:bookmarkEnd w:id="59"/>
    </w:p>
    <w:p>
      <w:pPr>
        <w:spacing w:line="360" w:lineRule="auto"/>
        <w:rPr>
          <w:rFonts w:hint="eastAsia" w:ascii="宋体" w:hAnsi="宋体" w:eastAsia="宋体" w:cs="宋体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4"/>
          <w:lang w:val="en-US" w:eastAsia="zh-CN"/>
        </w:rPr>
        <w:t>点击【成交项目】可以针对成交项目进行服务费、保证金转成交价款等操作。</w:t>
      </w:r>
    </w:p>
    <w:p>
      <w:pPr>
        <w:spacing w:line="360" w:lineRule="auto"/>
        <w:rPr>
          <w:rFonts w:hint="eastAsia" w:ascii="宋体" w:hAnsi="宋体" w:eastAsia="宋体" w:cs="宋体"/>
          <w:sz w:val="21"/>
          <w:szCs w:val="24"/>
        </w:rPr>
      </w:pPr>
      <w:r>
        <w:rPr>
          <w:rFonts w:hint="eastAsia" w:ascii="宋体" w:hAnsi="宋体" w:eastAsia="宋体" w:cs="宋体"/>
          <w:sz w:val="21"/>
          <w:szCs w:val="24"/>
        </w:rPr>
        <w:drawing>
          <wp:inline distT="0" distB="0" distL="114300" distR="114300">
            <wp:extent cx="5274310" cy="2507615"/>
            <wp:effectExtent l="0" t="0" r="2540" b="6985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0"/>
        <w:jc w:val="center"/>
        <w:rPr>
          <w:rFonts w:hint="eastAsia" w:ascii="宋体" w:hAnsi="宋体" w:eastAsia="宋体" w:cs="宋体"/>
          <w:sz w:val="21"/>
          <w:szCs w:val="24"/>
        </w:rPr>
      </w:pPr>
      <w:r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  <w:t>图3.7-1</w:t>
      </w:r>
    </w:p>
    <w:p>
      <w:pPr>
        <w:spacing w:line="360" w:lineRule="auto"/>
        <w:rPr>
          <w:rFonts w:hint="eastAsia" w:ascii="宋体" w:hAnsi="宋体" w:eastAsia="宋体" w:cs="宋体"/>
          <w:sz w:val="21"/>
          <w:szCs w:val="24"/>
        </w:rPr>
      </w:pPr>
      <w:r>
        <w:rPr>
          <w:rFonts w:hint="eastAsia" w:ascii="宋体" w:hAnsi="宋体" w:eastAsia="宋体" w:cs="宋体"/>
          <w:sz w:val="21"/>
          <w:szCs w:val="24"/>
        </w:rPr>
        <w:drawing>
          <wp:inline distT="0" distB="0" distL="114300" distR="114300">
            <wp:extent cx="5271770" cy="2468880"/>
            <wp:effectExtent l="0" t="0" r="5080" b="7620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0"/>
        <w:jc w:val="center"/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  <w:t>图3.7-2</w:t>
      </w:r>
    </w:p>
    <w:p>
      <w:pPr>
        <w:spacing w:line="360" w:lineRule="auto"/>
        <w:ind w:firstLine="422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  <w:t>服务费查询</w:t>
      </w:r>
      <w:r>
        <w:rPr>
          <w:rFonts w:hint="eastAsia" w:ascii="宋体" w:hAnsi="宋体" w:eastAsia="宋体" w:cs="宋体"/>
          <w:b w:val="0"/>
          <w:bCs w:val="0"/>
          <w:sz w:val="21"/>
          <w:szCs w:val="24"/>
          <w:lang w:val="en-US" w:eastAsia="zh-CN"/>
        </w:rPr>
        <w:t>是指项目成交之后，产权中心人员根据成交项目生成服务费子账号，并根据竞价金额计算出的服务费，由成交方进行缴纳服务费并查询缴纳情况。</w:t>
      </w:r>
    </w:p>
    <w:p>
      <w:pPr>
        <w:spacing w:line="360" w:lineRule="auto"/>
        <w:ind w:firstLine="422" w:firstLineChars="200"/>
        <w:jc w:val="both"/>
        <w:rPr>
          <w:rFonts w:hint="default" w:ascii="宋体" w:hAnsi="宋体" w:eastAsia="宋体" w:cs="宋体"/>
          <w:b/>
          <w:bCs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  <w:t>服务费查询页面</w:t>
      </w:r>
    </w:p>
    <w:p>
      <w:pPr>
        <w:spacing w:line="360" w:lineRule="auto"/>
        <w:ind w:firstLine="420" w:firstLineChars="200"/>
        <w:jc w:val="both"/>
      </w:pPr>
      <w:r>
        <w:drawing>
          <wp:inline distT="0" distB="0" distL="114300" distR="114300">
            <wp:extent cx="5260340" cy="2298700"/>
            <wp:effectExtent l="0" t="0" r="16510" b="6350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0"/>
        <w:jc w:val="center"/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  <w:t>图3.7-3</w:t>
      </w:r>
    </w:p>
    <w:p>
      <w:pPr>
        <w:spacing w:line="360" w:lineRule="auto"/>
        <w:ind w:firstLine="422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  <w:t>成交款子账号</w:t>
      </w:r>
      <w:r>
        <w:rPr>
          <w:rFonts w:hint="eastAsia" w:ascii="宋体" w:hAnsi="宋体" w:eastAsia="宋体" w:cs="宋体"/>
          <w:b w:val="0"/>
          <w:bCs w:val="0"/>
          <w:sz w:val="21"/>
          <w:szCs w:val="24"/>
          <w:lang w:val="en-US" w:eastAsia="zh-CN"/>
        </w:rPr>
        <w:t>是指项目成交之后，产权中心人员根据成交项目生成成交价款子账号，由成交方进行缴纳成交款并查询缴纳情况。</w:t>
      </w:r>
    </w:p>
    <w:p>
      <w:pPr>
        <w:spacing w:line="360" w:lineRule="auto"/>
        <w:ind w:firstLine="420" w:firstLineChars="200"/>
        <w:jc w:val="both"/>
      </w:pPr>
      <w:r>
        <w:drawing>
          <wp:inline distT="0" distB="0" distL="114300" distR="114300">
            <wp:extent cx="5267960" cy="2400300"/>
            <wp:effectExtent l="0" t="0" r="8890" b="0"/>
            <wp:docPr id="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0"/>
        <w:jc w:val="center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  <w:t>图3.7-4</w:t>
      </w:r>
    </w:p>
    <w:p>
      <w:pPr>
        <w:spacing w:line="360" w:lineRule="auto"/>
        <w:ind w:firstLine="422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  <w:t>保证金转成交款</w:t>
      </w:r>
      <w:r>
        <w:rPr>
          <w:rFonts w:hint="eastAsia" w:ascii="宋体" w:hAnsi="宋体" w:eastAsia="宋体" w:cs="宋体"/>
          <w:b w:val="0"/>
          <w:bCs w:val="0"/>
          <w:sz w:val="21"/>
          <w:szCs w:val="24"/>
          <w:lang w:val="en-US" w:eastAsia="zh-CN"/>
        </w:rPr>
        <w:t>是指成交方可以向产权中心申请，保证金转成交价款，在申请通过之后，可以将交易保证金转成成交价款。</w:t>
      </w:r>
    </w:p>
    <w:p>
      <w:pPr>
        <w:spacing w:line="360" w:lineRule="auto"/>
        <w:ind w:firstLine="420" w:firstLineChars="200"/>
        <w:jc w:val="both"/>
      </w:pPr>
      <w:r>
        <w:drawing>
          <wp:inline distT="0" distB="0" distL="114300" distR="114300">
            <wp:extent cx="5259705" cy="2372360"/>
            <wp:effectExtent l="0" t="0" r="17145" b="8890"/>
            <wp:docPr id="3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0"/>
        <w:jc w:val="center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4"/>
          <w:lang w:val="en-US" w:eastAsia="zh-CN"/>
        </w:rPr>
        <w:t>图3.7-5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7455486"/>
    <w:multiLevelType w:val="singleLevel"/>
    <w:tmpl w:val="97455486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9B648A0D"/>
    <w:multiLevelType w:val="multilevel"/>
    <w:tmpl w:val="9B648A0D"/>
    <w:lvl w:ilvl="0" w:tentative="0">
      <w:start w:val="1"/>
      <w:numFmt w:val="decimal"/>
      <w:suff w:val="nothing"/>
      <w:lvlText w:val="%1、"/>
      <w:lvlJc w:val="left"/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2">
    <w:nsid w:val="AF142181"/>
    <w:multiLevelType w:val="multilevel"/>
    <w:tmpl w:val="AF142181"/>
    <w:lvl w:ilvl="0" w:tentative="0">
      <w:start w:val="1"/>
      <w:numFmt w:val="chineseCounting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"/>
      <w:pStyle w:val="2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3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3">
    <w:nsid w:val="D5A0C7B9"/>
    <w:multiLevelType w:val="multilevel"/>
    <w:tmpl w:val="D5A0C7B9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4">
    <w:nsid w:val="E08800A3"/>
    <w:multiLevelType w:val="singleLevel"/>
    <w:tmpl w:val="E08800A3"/>
    <w:lvl w:ilvl="0" w:tentative="0">
      <w:start w:val="1"/>
      <w:numFmt w:val="decimal"/>
      <w:suff w:val="nothing"/>
      <w:lvlText w:val="（%1）"/>
      <w:lvlJc w:val="left"/>
    </w:lvl>
  </w:abstractNum>
  <w:abstractNum w:abstractNumId="5">
    <w:nsid w:val="7768A598"/>
    <w:multiLevelType w:val="singleLevel"/>
    <w:tmpl w:val="7768A598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803E28"/>
    <w:rsid w:val="073060E2"/>
    <w:rsid w:val="10984BA8"/>
    <w:rsid w:val="21015F70"/>
    <w:rsid w:val="424C6E9E"/>
    <w:rsid w:val="4928115F"/>
    <w:rsid w:val="51362446"/>
    <w:rsid w:val="524318DE"/>
    <w:rsid w:val="57E8730F"/>
    <w:rsid w:val="756E7F59"/>
    <w:rsid w:val="7E417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3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="400" w:firstLineChars="0"/>
      <w:jc w:val="both"/>
      <w:outlineLvl w:val="2"/>
    </w:pPr>
    <w:rPr>
      <w:b/>
      <w:bCs/>
      <w:sz w:val="28"/>
      <w:szCs w:val="18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2"/>
    <w:basedOn w:val="1"/>
    <w:next w:val="1"/>
    <w:qFormat/>
    <w:uiPriority w:val="0"/>
    <w:pPr>
      <w:ind w:left="420" w:leftChars="200"/>
    </w:pPr>
  </w:style>
  <w:style w:type="paragraph" w:customStyle="1" w:styleId="7">
    <w:name w:val="Indent Normal"/>
    <w:basedOn w:val="1"/>
    <w:qFormat/>
    <w:uiPriority w:val="0"/>
    <w:pPr>
      <w:ind w:firstLine="150" w:firstLineChars="150"/>
    </w:pPr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1" Type="http://schemas.openxmlformats.org/officeDocument/2006/relationships/fontTable" Target="fontTable.xml"/><Relationship Id="rId40" Type="http://schemas.openxmlformats.org/officeDocument/2006/relationships/numbering" Target="numbering.xml"/><Relationship Id="rId4" Type="http://schemas.openxmlformats.org/officeDocument/2006/relationships/image" Target="media/image1.png"/><Relationship Id="rId39" Type="http://schemas.openxmlformats.org/officeDocument/2006/relationships/customXml" Target="../customXml/item1.xml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Sky_liu</dc:creator>
  <cp:lastModifiedBy>系统管理员 </cp:lastModifiedBy>
  <dcterms:modified xsi:type="dcterms:W3CDTF">2020-04-19T07:03:30Z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